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43CA5" w14:textId="77777777" w:rsidR="006D28A6" w:rsidRDefault="00A90500">
      <w:pPr>
        <w:tabs>
          <w:tab w:val="left" w:pos="6596"/>
        </w:tabs>
        <w:ind w:left="1730"/>
        <w:rPr>
          <w:rFonts w:ascii="Times New Roman"/>
          <w:sz w:val="20"/>
        </w:rPr>
      </w:pPr>
      <w:r>
        <w:rPr>
          <w:rFonts w:ascii="Times New Roman"/>
          <w:noProof/>
          <w:position w:val="63"/>
          <w:sz w:val="20"/>
        </w:rPr>
        <w:drawing>
          <wp:inline distT="0" distB="0" distL="0" distR="0" wp14:anchorId="5F78BC4A" wp14:editId="35DC4FC1">
            <wp:extent cx="2279293" cy="519683"/>
            <wp:effectExtent l="0" t="0" r="0" b="0"/>
            <wp:docPr id="3" name="Image 3" descr="Instituto de Contabilidad y Auditoría de cuentas  Logo del Instituto de Contabilidad y Auditoría de Cuent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Instituto de Contabilidad y Auditoría de cuentas  Logo del Instituto de Contabilidad y Auditoría de Cuentas"/>
                    <pic:cNvPicPr/>
                  </pic:nvPicPr>
                  <pic:blipFill>
                    <a:blip r:embed="rId8" cstate="print"/>
                    <a:stretch>
                      <a:fillRect/>
                    </a:stretch>
                  </pic:blipFill>
                  <pic:spPr>
                    <a:xfrm>
                      <a:off x="0" y="0"/>
                      <a:ext cx="2279293" cy="519683"/>
                    </a:xfrm>
                    <a:prstGeom prst="rect">
                      <a:avLst/>
                    </a:prstGeom>
                  </pic:spPr>
                </pic:pic>
              </a:graphicData>
            </a:graphic>
          </wp:inline>
        </w:drawing>
      </w:r>
      <w:r>
        <w:rPr>
          <w:rFonts w:ascii="Times New Roman"/>
          <w:position w:val="63"/>
          <w:sz w:val="20"/>
        </w:rPr>
        <w:tab/>
      </w:r>
      <w:r>
        <w:rPr>
          <w:rFonts w:ascii="Times New Roman"/>
          <w:noProof/>
          <w:sz w:val="20"/>
        </w:rPr>
        <w:drawing>
          <wp:inline distT="0" distB="0" distL="0" distR="0" wp14:anchorId="5FEC7607" wp14:editId="0D78DF5C">
            <wp:extent cx="922019" cy="922020"/>
            <wp:effectExtent l="0" t="0" r="0" b="0"/>
            <wp:docPr id="4" name="Image 4" descr="logo mediano_cmy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logo mediano_cmyk"/>
                    <pic:cNvPicPr/>
                  </pic:nvPicPr>
                  <pic:blipFill>
                    <a:blip r:embed="rId9" cstate="print"/>
                    <a:stretch>
                      <a:fillRect/>
                    </a:stretch>
                  </pic:blipFill>
                  <pic:spPr>
                    <a:xfrm>
                      <a:off x="0" y="0"/>
                      <a:ext cx="922019" cy="922020"/>
                    </a:xfrm>
                    <a:prstGeom prst="rect">
                      <a:avLst/>
                    </a:prstGeom>
                  </pic:spPr>
                </pic:pic>
              </a:graphicData>
            </a:graphic>
          </wp:inline>
        </w:drawing>
      </w:r>
    </w:p>
    <w:p w14:paraId="3BC75358" w14:textId="77777777" w:rsidR="006D28A6" w:rsidRDefault="006D28A6">
      <w:pPr>
        <w:pStyle w:val="Textoindependiente"/>
        <w:jc w:val="left"/>
        <w:rPr>
          <w:rFonts w:ascii="Times New Roman"/>
          <w:sz w:val="20"/>
        </w:rPr>
      </w:pPr>
    </w:p>
    <w:p w14:paraId="68D522CB" w14:textId="77777777" w:rsidR="006D28A6" w:rsidRDefault="00A90500">
      <w:pPr>
        <w:pStyle w:val="Textoindependiente"/>
        <w:spacing w:before="8"/>
        <w:jc w:val="left"/>
        <w:rPr>
          <w:rFonts w:ascii="Times New Roman"/>
          <w:sz w:val="20"/>
        </w:rPr>
      </w:pPr>
      <w:r>
        <w:rPr>
          <w:rFonts w:ascii="Times New Roman"/>
          <w:noProof/>
          <w:sz w:val="20"/>
        </w:rPr>
        <mc:AlternateContent>
          <mc:Choice Requires="wps">
            <w:drawing>
              <wp:anchor distT="0" distB="0" distL="0" distR="0" simplePos="0" relativeHeight="487587840" behindDoc="1" locked="0" layoutInCell="1" allowOverlap="1" wp14:anchorId="711D86B7" wp14:editId="14C60076">
                <wp:simplePos x="0" y="0"/>
                <wp:positionH relativeFrom="page">
                  <wp:posOffset>1646173</wp:posOffset>
                </wp:positionH>
                <wp:positionV relativeFrom="paragraph">
                  <wp:posOffset>169557</wp:posOffset>
                </wp:positionV>
                <wp:extent cx="5448300" cy="1045844"/>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0" cy="1045844"/>
                        </a:xfrm>
                        <a:prstGeom prst="rect">
                          <a:avLst/>
                        </a:prstGeom>
                        <a:ln w="6095">
                          <a:solidFill>
                            <a:srgbClr val="000000"/>
                          </a:solidFill>
                          <a:prstDash val="solid"/>
                        </a:ln>
                      </wps:spPr>
                      <wps:txbx>
                        <w:txbxContent>
                          <w:p w14:paraId="3A82BC7F" w14:textId="0B731CB7" w:rsidR="006D28A6" w:rsidRDefault="00A90500">
                            <w:pPr>
                              <w:pStyle w:val="Textoindependiente"/>
                              <w:spacing w:before="138" w:line="360" w:lineRule="auto"/>
                              <w:ind w:left="108" w:right="112"/>
                              <w:rPr>
                                <w:rFonts w:ascii="Myriad Pro Light" w:hAnsi="Myriad Pro Light"/>
                                <w:b/>
                              </w:rPr>
                            </w:pPr>
                            <w:r>
                              <w:rPr>
                                <w:rFonts w:ascii="Myriad Pro Light" w:hAnsi="Myriad Pro Light"/>
                                <w:b/>
                              </w:rPr>
                              <w:t>SEGUNDO COMUNICADO CONJUNTO SOBRE LA TRANSPOSICIÓN DE LA DIRECTIVA</w:t>
                            </w:r>
                            <w:r>
                              <w:rPr>
                                <w:rFonts w:ascii="Myriad Pro Light" w:hAnsi="Myriad Pro Light"/>
                                <w:b/>
                                <w:spacing w:val="40"/>
                              </w:rPr>
                              <w:t xml:space="preserve"> </w:t>
                            </w:r>
                            <w:r>
                              <w:rPr>
                                <w:rFonts w:ascii="Myriad Pro Light" w:hAnsi="Myriad Pro Light"/>
                                <w:b/>
                              </w:rPr>
                              <w:t>CSRD</w:t>
                            </w:r>
                            <w:r>
                              <w:rPr>
                                <w:rFonts w:ascii="Myriad Pro Light" w:hAnsi="Myriad Pro Light"/>
                                <w:b/>
                                <w:spacing w:val="40"/>
                              </w:rPr>
                              <w:t xml:space="preserve"> </w:t>
                            </w:r>
                            <w:r>
                              <w:rPr>
                                <w:rFonts w:ascii="Myriad Pro Light" w:hAnsi="Myriad Pro Light"/>
                                <w:b/>
                              </w:rPr>
                              <w:t>Y</w:t>
                            </w:r>
                            <w:r>
                              <w:rPr>
                                <w:rFonts w:ascii="Myriad Pro Light" w:hAnsi="Myriad Pro Light"/>
                                <w:b/>
                                <w:spacing w:val="40"/>
                              </w:rPr>
                              <w:t xml:space="preserve"> </w:t>
                            </w:r>
                            <w:r>
                              <w:rPr>
                                <w:rFonts w:ascii="Myriad Pro Light" w:hAnsi="Myriad Pro Light"/>
                                <w:b/>
                              </w:rPr>
                              <w:t>MODIFICACIONES</w:t>
                            </w:r>
                            <w:r>
                              <w:rPr>
                                <w:rFonts w:ascii="Myriad Pro Light" w:hAnsi="Myriad Pro Light"/>
                                <w:b/>
                                <w:spacing w:val="40"/>
                              </w:rPr>
                              <w:t xml:space="preserve"> </w:t>
                            </w:r>
                            <w:r>
                              <w:rPr>
                                <w:rFonts w:ascii="Myriad Pro Light" w:hAnsi="Myriad Pro Light"/>
                                <w:b/>
                              </w:rPr>
                              <w:t>SUCESIVAS</w:t>
                            </w:r>
                            <w:r>
                              <w:rPr>
                                <w:rFonts w:ascii="Myriad Pro Light" w:hAnsi="Myriad Pro Light"/>
                                <w:b/>
                                <w:spacing w:val="40"/>
                              </w:rPr>
                              <w:t xml:space="preserve"> </w:t>
                            </w:r>
                            <w:r>
                              <w:rPr>
                                <w:rFonts w:ascii="Myriad Pro Light" w:hAnsi="Myriad Pro Light"/>
                                <w:b/>
                              </w:rPr>
                              <w:t>AL</w:t>
                            </w:r>
                            <w:r>
                              <w:rPr>
                                <w:rFonts w:ascii="Myriad Pro Light" w:hAnsi="Myriad Pro Light"/>
                                <w:b/>
                                <w:spacing w:val="40"/>
                              </w:rPr>
                              <w:t xml:space="preserve"> </w:t>
                            </w:r>
                            <w:r>
                              <w:rPr>
                                <w:rFonts w:ascii="Myriad Pro Light" w:hAnsi="Myriad Pro Light"/>
                                <w:b/>
                              </w:rPr>
                              <w:t xml:space="preserve">ORDENAMIENTO JURÍDICO ESPAÑOL </w:t>
                            </w:r>
                          </w:p>
                        </w:txbxContent>
                      </wps:txbx>
                      <wps:bodyPr wrap="square" lIns="0" tIns="0" rIns="0" bIns="0" rtlCol="0">
                        <a:noAutofit/>
                      </wps:bodyPr>
                    </wps:wsp>
                  </a:graphicData>
                </a:graphic>
              </wp:anchor>
            </w:drawing>
          </mc:Choice>
          <mc:Fallback>
            <w:pict>
              <v:shapetype w14:anchorId="711D86B7" id="_x0000_t202" coordsize="21600,21600" o:spt="202" path="m,l,21600r21600,l21600,xe">
                <v:stroke joinstyle="miter"/>
                <v:path gradientshapeok="t" o:connecttype="rect"/>
              </v:shapetype>
              <v:shape id="Textbox 5" o:spid="_x0000_s1026" type="#_x0000_t202" style="position:absolute;margin-left:129.6pt;margin-top:13.35pt;width:429pt;height:82.3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" filled="f" strokeweight=".16931mm">
                <v:path arrowok="t"/>
                <v:textbox inset="0,0,0,0">
                  <w:txbxContent>
                    <w:p w14:paraId="3A82BC7F" w14:textId="0B731CB7" w:rsidR="006D28A6" w:rsidRDefault="00A90500">
                      <w:pPr>
                        <w:pStyle w:val="Textoindependiente"/>
                        <w:spacing w:before="138" w:line="360" w:lineRule="auto"/>
                        <w:ind w:left="108" w:right="112"/>
                        <w:rPr>
                          <w:rFonts w:ascii="Myriad Pro Light" w:hAnsi="Myriad Pro Light"/>
                          <w:b/>
                        </w:rPr>
                      </w:pPr>
                      <w:r>
                        <w:rPr>
                          <w:rFonts w:ascii="Myriad Pro Light" w:hAnsi="Myriad Pro Light"/>
                          <w:b/>
                        </w:rPr>
                        <w:t>SEGUNDO COMUNICADO CONJUNTO SOBRE LA TRANSPOSICIÓN DE LA DIRECTIVA</w:t>
                      </w:r>
                      <w:r>
                        <w:rPr>
                          <w:rFonts w:ascii="Myriad Pro Light" w:hAnsi="Myriad Pro Light"/>
                          <w:b/>
                          <w:spacing w:val="40"/>
                        </w:rPr>
                        <w:t xml:space="preserve"> </w:t>
                      </w:r>
                      <w:r>
                        <w:rPr>
                          <w:rFonts w:ascii="Myriad Pro Light" w:hAnsi="Myriad Pro Light"/>
                          <w:b/>
                        </w:rPr>
                        <w:t>CSRD</w:t>
                      </w:r>
                      <w:r>
                        <w:rPr>
                          <w:rFonts w:ascii="Myriad Pro Light" w:hAnsi="Myriad Pro Light"/>
                          <w:b/>
                          <w:spacing w:val="40"/>
                        </w:rPr>
                        <w:t xml:space="preserve"> </w:t>
                      </w:r>
                      <w:r>
                        <w:rPr>
                          <w:rFonts w:ascii="Myriad Pro Light" w:hAnsi="Myriad Pro Light"/>
                          <w:b/>
                        </w:rPr>
                        <w:t>Y</w:t>
                      </w:r>
                      <w:r>
                        <w:rPr>
                          <w:rFonts w:ascii="Myriad Pro Light" w:hAnsi="Myriad Pro Light"/>
                          <w:b/>
                          <w:spacing w:val="40"/>
                        </w:rPr>
                        <w:t xml:space="preserve"> </w:t>
                      </w:r>
                      <w:r>
                        <w:rPr>
                          <w:rFonts w:ascii="Myriad Pro Light" w:hAnsi="Myriad Pro Light"/>
                          <w:b/>
                        </w:rPr>
                        <w:t>MODIFICACIONES</w:t>
                      </w:r>
                      <w:r>
                        <w:rPr>
                          <w:rFonts w:ascii="Myriad Pro Light" w:hAnsi="Myriad Pro Light"/>
                          <w:b/>
                          <w:spacing w:val="40"/>
                        </w:rPr>
                        <w:t xml:space="preserve"> </w:t>
                      </w:r>
                      <w:r>
                        <w:rPr>
                          <w:rFonts w:ascii="Myriad Pro Light" w:hAnsi="Myriad Pro Light"/>
                          <w:b/>
                        </w:rPr>
                        <w:t>SUCESIVAS</w:t>
                      </w:r>
                      <w:r>
                        <w:rPr>
                          <w:rFonts w:ascii="Myriad Pro Light" w:hAnsi="Myriad Pro Light"/>
                          <w:b/>
                          <w:spacing w:val="40"/>
                        </w:rPr>
                        <w:t xml:space="preserve"> </w:t>
                      </w:r>
                      <w:r>
                        <w:rPr>
                          <w:rFonts w:ascii="Myriad Pro Light" w:hAnsi="Myriad Pro Light"/>
                          <w:b/>
                        </w:rPr>
                        <w:t>AL</w:t>
                      </w:r>
                      <w:r>
                        <w:rPr>
                          <w:rFonts w:ascii="Myriad Pro Light" w:hAnsi="Myriad Pro Light"/>
                          <w:b/>
                          <w:spacing w:val="40"/>
                        </w:rPr>
                        <w:t xml:space="preserve"> </w:t>
                      </w:r>
                      <w:r>
                        <w:rPr>
                          <w:rFonts w:ascii="Myriad Pro Light" w:hAnsi="Myriad Pro Light"/>
                          <w:b/>
                        </w:rPr>
                        <w:t xml:space="preserve">ORDENAMIENTO JURÍDICO ESPAÑOL </w:t>
                      </w:r>
                    </w:p>
                  </w:txbxContent>
                </v:textbox>
                <w10:wrap type="topAndBottom" anchorx="page"/>
              </v:shape>
            </w:pict>
          </mc:Fallback>
        </mc:AlternateContent>
      </w:r>
    </w:p>
    <w:p w14:paraId="53A4BF0E" w14:textId="77777777" w:rsidR="006D28A6" w:rsidRDefault="006D28A6">
      <w:pPr>
        <w:pStyle w:val="Textoindependiente"/>
        <w:spacing w:before="125"/>
        <w:jc w:val="left"/>
        <w:rPr>
          <w:rFonts w:ascii="Times New Roman"/>
          <w:sz w:val="22"/>
        </w:rPr>
      </w:pPr>
    </w:p>
    <w:p w14:paraId="724258D8" w14:textId="69536E0C" w:rsidR="006D28A6" w:rsidRDefault="00BA1E01">
      <w:pPr>
        <w:ind w:left="1098"/>
        <w:rPr>
          <w:rFonts w:ascii="Myriad Pro Light"/>
        </w:rPr>
      </w:pPr>
      <w:r w:rsidRPr="00BA1E01">
        <w:rPr>
          <w:rFonts w:ascii="Myriad Pro Light"/>
          <w:color w:val="000000"/>
        </w:rPr>
        <w:t>19</w:t>
      </w:r>
      <w:r w:rsidR="00A90500" w:rsidRPr="00BA1E01">
        <w:rPr>
          <w:rFonts w:ascii="Myriad Pro Light"/>
          <w:color w:val="000000"/>
          <w:spacing w:val="-6"/>
        </w:rPr>
        <w:t xml:space="preserve"> </w:t>
      </w:r>
      <w:r w:rsidR="00A90500" w:rsidRPr="00BA1E01">
        <w:rPr>
          <w:rFonts w:ascii="Myriad Pro Light"/>
          <w:color w:val="000000"/>
        </w:rPr>
        <w:t>de</w:t>
      </w:r>
      <w:r w:rsidR="00A90500" w:rsidRPr="00BA1E01">
        <w:rPr>
          <w:rFonts w:ascii="Myriad Pro Light"/>
          <w:color w:val="000000"/>
          <w:spacing w:val="-1"/>
        </w:rPr>
        <w:t xml:space="preserve"> </w:t>
      </w:r>
      <w:r w:rsidR="00E85BA3" w:rsidRPr="00BA1E01">
        <w:rPr>
          <w:rFonts w:ascii="Myriad Pro Light"/>
          <w:color w:val="000000"/>
        </w:rPr>
        <w:t>noviem</w:t>
      </w:r>
      <w:r w:rsidR="00A90500" w:rsidRPr="00BA1E01">
        <w:rPr>
          <w:rFonts w:ascii="Myriad Pro Light"/>
          <w:color w:val="000000"/>
        </w:rPr>
        <w:t>bre</w:t>
      </w:r>
      <w:r w:rsidR="00A90500" w:rsidRPr="00BA1E01">
        <w:rPr>
          <w:rFonts w:ascii="Myriad Pro Light"/>
          <w:color w:val="000000"/>
          <w:spacing w:val="-1"/>
        </w:rPr>
        <w:t xml:space="preserve"> </w:t>
      </w:r>
      <w:r w:rsidR="00A90500" w:rsidRPr="00BA1E01">
        <w:rPr>
          <w:rFonts w:ascii="Myriad Pro Light"/>
          <w:color w:val="000000"/>
        </w:rPr>
        <w:t>de</w:t>
      </w:r>
      <w:r w:rsidR="00A90500" w:rsidRPr="00BA1E01">
        <w:rPr>
          <w:rFonts w:ascii="Myriad Pro Light"/>
          <w:color w:val="000000"/>
          <w:spacing w:val="-3"/>
        </w:rPr>
        <w:t xml:space="preserve"> </w:t>
      </w:r>
      <w:r w:rsidR="00A90500" w:rsidRPr="00BA1E01">
        <w:rPr>
          <w:rFonts w:ascii="Myriad Pro Light"/>
          <w:color w:val="000000"/>
          <w:spacing w:val="-4"/>
        </w:rPr>
        <w:t>2025</w:t>
      </w:r>
    </w:p>
    <w:p w14:paraId="765751B9" w14:textId="77777777" w:rsidR="006D28A6" w:rsidRDefault="006D28A6">
      <w:pPr>
        <w:pStyle w:val="Textoindependiente"/>
        <w:jc w:val="left"/>
        <w:rPr>
          <w:rFonts w:ascii="Myriad Pro Light"/>
          <w:sz w:val="22"/>
        </w:rPr>
      </w:pPr>
    </w:p>
    <w:p w14:paraId="0EE71EC5" w14:textId="77777777" w:rsidR="006D28A6" w:rsidRDefault="006D28A6">
      <w:pPr>
        <w:pStyle w:val="Textoindependiente"/>
        <w:spacing w:before="16"/>
        <w:jc w:val="left"/>
        <w:rPr>
          <w:rFonts w:ascii="Myriad Pro Light"/>
          <w:sz w:val="22"/>
        </w:rPr>
      </w:pPr>
    </w:p>
    <w:p w14:paraId="53942915" w14:textId="79F9487A" w:rsidR="006D28A6" w:rsidRDefault="00A90500">
      <w:pPr>
        <w:ind w:left="851"/>
        <w:jc w:val="both"/>
        <w:rPr>
          <w:rFonts w:ascii="Myriad Pro Light"/>
          <w:b/>
        </w:rPr>
      </w:pPr>
      <w:r>
        <w:rPr>
          <w:rFonts w:ascii="Myriad Pro Light"/>
          <w:b/>
          <w:color w:val="AC2044"/>
        </w:rPr>
        <w:t>Antecedentes</w:t>
      </w:r>
      <w:r>
        <w:rPr>
          <w:rFonts w:ascii="Myriad Pro Light"/>
          <w:b/>
          <w:color w:val="AC2044"/>
          <w:spacing w:val="31"/>
        </w:rPr>
        <w:t xml:space="preserve"> </w:t>
      </w:r>
      <w:r>
        <w:rPr>
          <w:rFonts w:ascii="Myriad Pro Light"/>
          <w:b/>
          <w:color w:val="AC2044"/>
        </w:rPr>
        <w:t>y</w:t>
      </w:r>
      <w:r>
        <w:rPr>
          <w:rFonts w:ascii="Myriad Pro Light"/>
          <w:b/>
          <w:color w:val="AC2044"/>
          <w:spacing w:val="33"/>
        </w:rPr>
        <w:t xml:space="preserve"> </w:t>
      </w:r>
      <w:r>
        <w:rPr>
          <w:rFonts w:ascii="Myriad Pro Light"/>
          <w:b/>
          <w:color w:val="AC2044"/>
        </w:rPr>
        <w:t>Comunicado</w:t>
      </w:r>
      <w:r>
        <w:rPr>
          <w:rFonts w:ascii="Myriad Pro Light"/>
          <w:b/>
          <w:color w:val="AC2044"/>
          <w:spacing w:val="33"/>
        </w:rPr>
        <w:t xml:space="preserve"> </w:t>
      </w:r>
      <w:r>
        <w:rPr>
          <w:rFonts w:ascii="Myriad Pro Light"/>
          <w:b/>
          <w:color w:val="AC2044"/>
        </w:rPr>
        <w:t>previo</w:t>
      </w:r>
      <w:r>
        <w:rPr>
          <w:rFonts w:ascii="Myriad Pro Light"/>
          <w:b/>
          <w:color w:val="AC2044"/>
          <w:spacing w:val="33"/>
        </w:rPr>
        <w:t xml:space="preserve"> </w:t>
      </w:r>
      <w:r>
        <w:rPr>
          <w:rFonts w:ascii="Myriad Pro Light"/>
          <w:b/>
          <w:color w:val="AC2044"/>
        </w:rPr>
        <w:t>de</w:t>
      </w:r>
      <w:r w:rsidR="00C633E4">
        <w:rPr>
          <w:rFonts w:ascii="Myriad Pro Light"/>
          <w:b/>
          <w:color w:val="AC2044"/>
        </w:rPr>
        <w:t>l</w:t>
      </w:r>
      <w:r>
        <w:rPr>
          <w:rFonts w:ascii="Myriad Pro Light"/>
          <w:b/>
          <w:color w:val="AC2044"/>
          <w:spacing w:val="45"/>
        </w:rPr>
        <w:t xml:space="preserve"> </w:t>
      </w:r>
      <w:r>
        <w:rPr>
          <w:rFonts w:ascii="Myriad Pro Light"/>
          <w:b/>
          <w:color w:val="AC2044"/>
        </w:rPr>
        <w:t>ICAC</w:t>
      </w:r>
      <w:r>
        <w:rPr>
          <w:rFonts w:ascii="Myriad Pro Light"/>
          <w:b/>
          <w:color w:val="AC2044"/>
          <w:spacing w:val="32"/>
        </w:rPr>
        <w:t xml:space="preserve"> </w:t>
      </w:r>
      <w:r>
        <w:rPr>
          <w:rFonts w:ascii="Myriad Pro Light"/>
          <w:b/>
          <w:color w:val="AC2044"/>
        </w:rPr>
        <w:t>y</w:t>
      </w:r>
      <w:r>
        <w:rPr>
          <w:rFonts w:ascii="Myriad Pro Light"/>
          <w:b/>
          <w:color w:val="AC2044"/>
          <w:spacing w:val="34"/>
        </w:rPr>
        <w:t xml:space="preserve"> </w:t>
      </w:r>
      <w:r>
        <w:rPr>
          <w:rFonts w:ascii="Myriad Pro Light"/>
          <w:b/>
          <w:color w:val="AC2044"/>
        </w:rPr>
        <w:t>CNMV</w:t>
      </w:r>
      <w:r>
        <w:rPr>
          <w:rFonts w:ascii="Myriad Pro Light"/>
          <w:b/>
          <w:color w:val="AC2044"/>
          <w:spacing w:val="32"/>
        </w:rPr>
        <w:t xml:space="preserve"> </w:t>
      </w:r>
      <w:r>
        <w:rPr>
          <w:rFonts w:ascii="Myriad Pro Light"/>
          <w:b/>
          <w:color w:val="AC2044"/>
        </w:rPr>
        <w:t>de</w:t>
      </w:r>
      <w:r>
        <w:rPr>
          <w:rFonts w:ascii="Myriad Pro Light"/>
          <w:b/>
          <w:color w:val="AC2044"/>
          <w:spacing w:val="34"/>
        </w:rPr>
        <w:t xml:space="preserve"> </w:t>
      </w:r>
      <w:r>
        <w:rPr>
          <w:rFonts w:ascii="Myriad Pro Light"/>
          <w:b/>
          <w:color w:val="AC2044"/>
        </w:rPr>
        <w:t>27</w:t>
      </w:r>
      <w:r>
        <w:rPr>
          <w:rFonts w:ascii="Myriad Pro Light"/>
          <w:b/>
          <w:color w:val="AC2044"/>
          <w:spacing w:val="32"/>
        </w:rPr>
        <w:t xml:space="preserve"> </w:t>
      </w:r>
      <w:r>
        <w:rPr>
          <w:rFonts w:ascii="Myriad Pro Light"/>
          <w:b/>
          <w:color w:val="AC2044"/>
        </w:rPr>
        <w:t>de</w:t>
      </w:r>
      <w:r>
        <w:rPr>
          <w:rFonts w:ascii="Myriad Pro Light"/>
          <w:b/>
          <w:color w:val="AC2044"/>
          <w:spacing w:val="30"/>
        </w:rPr>
        <w:t xml:space="preserve"> </w:t>
      </w:r>
      <w:r>
        <w:rPr>
          <w:rFonts w:ascii="Myriad Pro Light"/>
          <w:b/>
          <w:color w:val="AC2044"/>
        </w:rPr>
        <w:t>noviembre</w:t>
      </w:r>
      <w:r>
        <w:rPr>
          <w:rFonts w:ascii="Myriad Pro Light"/>
          <w:b/>
          <w:color w:val="AC2044"/>
          <w:spacing w:val="34"/>
        </w:rPr>
        <w:t xml:space="preserve"> </w:t>
      </w:r>
      <w:r>
        <w:rPr>
          <w:rFonts w:ascii="Myriad Pro Light"/>
          <w:b/>
          <w:color w:val="AC2044"/>
        </w:rPr>
        <w:t>de</w:t>
      </w:r>
      <w:r>
        <w:rPr>
          <w:rFonts w:ascii="Myriad Pro Light"/>
          <w:b/>
          <w:color w:val="AC2044"/>
          <w:spacing w:val="31"/>
        </w:rPr>
        <w:t xml:space="preserve"> </w:t>
      </w:r>
      <w:r>
        <w:rPr>
          <w:rFonts w:ascii="Myriad Pro Light"/>
          <w:b/>
          <w:color w:val="AC2044"/>
          <w:spacing w:val="-4"/>
        </w:rPr>
        <w:t>2024</w:t>
      </w:r>
    </w:p>
    <w:p w14:paraId="75F8E956" w14:textId="77777777" w:rsidR="006D28A6" w:rsidRDefault="006D28A6">
      <w:pPr>
        <w:pStyle w:val="Textoindependiente"/>
        <w:spacing w:before="12"/>
        <w:jc w:val="left"/>
        <w:rPr>
          <w:rFonts w:ascii="Myriad Pro Light"/>
          <w:b/>
          <w:sz w:val="22"/>
        </w:rPr>
      </w:pPr>
    </w:p>
    <w:p w14:paraId="691C78DB" w14:textId="64DC49D9" w:rsidR="006D28A6" w:rsidRDefault="00A90500">
      <w:pPr>
        <w:pStyle w:val="Textoindependiente"/>
        <w:ind w:left="851" w:right="139"/>
      </w:pPr>
      <w:r>
        <w:t xml:space="preserve">La Directiva 2014/95/UE, de 22 de octubre, </w:t>
      </w:r>
      <w:r w:rsidR="00F86B4D">
        <w:t>en lo que respecta a la</w:t>
      </w:r>
      <w:r>
        <w:t xml:space="preserve"> </w:t>
      </w:r>
      <w:r w:rsidR="008D16CB">
        <w:t xml:space="preserve">divulgación de </w:t>
      </w:r>
      <w:r>
        <w:t xml:space="preserve">información no financiera </w:t>
      </w:r>
      <w:r w:rsidR="008D16CB">
        <w:t>e información sobre</w:t>
      </w:r>
      <w:r>
        <w:t xml:space="preserve"> diversidad</w:t>
      </w:r>
      <w:r>
        <w:rPr>
          <w:spacing w:val="-2"/>
        </w:rPr>
        <w:t xml:space="preserve"> </w:t>
      </w:r>
      <w:r w:rsidR="008D16CB">
        <w:rPr>
          <w:spacing w:val="-2"/>
        </w:rPr>
        <w:t>por parte de determinadas grandes empresas y determinados grupos</w:t>
      </w:r>
      <w:r w:rsidR="00F67A73">
        <w:rPr>
          <w:spacing w:val="-2"/>
        </w:rPr>
        <w:t xml:space="preserve"> </w:t>
      </w:r>
      <w:r>
        <w:t>(NFRD,</w:t>
      </w:r>
      <w:r>
        <w:rPr>
          <w:spacing w:val="-3"/>
        </w:rPr>
        <w:t xml:space="preserve"> </w:t>
      </w:r>
      <w:r>
        <w:t>por</w:t>
      </w:r>
      <w:r>
        <w:rPr>
          <w:spacing w:val="-2"/>
        </w:rPr>
        <w:t xml:space="preserve"> </w:t>
      </w:r>
      <w:r>
        <w:t>sus</w:t>
      </w:r>
      <w:r>
        <w:rPr>
          <w:spacing w:val="-2"/>
        </w:rPr>
        <w:t xml:space="preserve"> </w:t>
      </w:r>
      <w:r>
        <w:t>siglas</w:t>
      </w:r>
      <w:r>
        <w:rPr>
          <w:spacing w:val="-2"/>
        </w:rPr>
        <w:t xml:space="preserve"> </w:t>
      </w:r>
      <w:r>
        <w:t>en</w:t>
      </w:r>
      <w:r>
        <w:rPr>
          <w:spacing w:val="-2"/>
        </w:rPr>
        <w:t xml:space="preserve"> </w:t>
      </w:r>
      <w:r>
        <w:t>inglés)</w:t>
      </w:r>
      <w:r>
        <w:rPr>
          <w:spacing w:val="-3"/>
        </w:rPr>
        <w:t xml:space="preserve"> </w:t>
      </w:r>
      <w:r>
        <w:t>introdujo</w:t>
      </w:r>
      <w:r>
        <w:rPr>
          <w:spacing w:val="-2"/>
        </w:rPr>
        <w:t xml:space="preserve"> </w:t>
      </w:r>
      <w:r>
        <w:t>la</w:t>
      </w:r>
      <w:r>
        <w:rPr>
          <w:spacing w:val="-3"/>
        </w:rPr>
        <w:t xml:space="preserve"> </w:t>
      </w:r>
      <w:r>
        <w:t>obligación</w:t>
      </w:r>
      <w:r>
        <w:rPr>
          <w:spacing w:val="-3"/>
        </w:rPr>
        <w:t xml:space="preserve"> </w:t>
      </w:r>
      <w:r>
        <w:t>de incluir en el informe de gestión un estado de información no financier</w:t>
      </w:r>
      <w:r w:rsidR="00562949">
        <w:t>a</w:t>
      </w:r>
      <w:r>
        <w:t xml:space="preserve"> (EINF)</w:t>
      </w:r>
      <w:r w:rsidR="00DB1BB2">
        <w:t>,</w:t>
      </w:r>
      <w:r>
        <w:t xml:space="preserve"> con información relativa a cuestiones medioambientales y sociales, así como relativas</w:t>
      </w:r>
      <w:r>
        <w:rPr>
          <w:spacing w:val="-15"/>
        </w:rPr>
        <w:t xml:space="preserve"> </w:t>
      </w:r>
      <w:r>
        <w:t>al</w:t>
      </w:r>
      <w:r>
        <w:rPr>
          <w:spacing w:val="-15"/>
        </w:rPr>
        <w:t xml:space="preserve"> </w:t>
      </w:r>
      <w:r>
        <w:t>personal,</w:t>
      </w:r>
      <w:r>
        <w:rPr>
          <w:spacing w:val="-15"/>
        </w:rPr>
        <w:t xml:space="preserve"> </w:t>
      </w:r>
      <w:r>
        <w:t>al</w:t>
      </w:r>
      <w:r>
        <w:rPr>
          <w:spacing w:val="-15"/>
        </w:rPr>
        <w:t xml:space="preserve"> </w:t>
      </w:r>
      <w:r>
        <w:t>respeto</w:t>
      </w:r>
      <w:r>
        <w:rPr>
          <w:spacing w:val="-15"/>
        </w:rPr>
        <w:t xml:space="preserve"> </w:t>
      </w:r>
      <w:r>
        <w:t>a</w:t>
      </w:r>
      <w:r>
        <w:rPr>
          <w:spacing w:val="-15"/>
        </w:rPr>
        <w:t xml:space="preserve"> </w:t>
      </w:r>
      <w:r>
        <w:t>los</w:t>
      </w:r>
      <w:r>
        <w:rPr>
          <w:spacing w:val="-15"/>
        </w:rPr>
        <w:t xml:space="preserve"> </w:t>
      </w:r>
      <w:r>
        <w:t>derechos</w:t>
      </w:r>
      <w:r>
        <w:rPr>
          <w:spacing w:val="-15"/>
        </w:rPr>
        <w:t xml:space="preserve"> </w:t>
      </w:r>
      <w:r>
        <w:t>humanos</w:t>
      </w:r>
      <w:r>
        <w:rPr>
          <w:spacing w:val="-15"/>
        </w:rPr>
        <w:t xml:space="preserve"> </w:t>
      </w:r>
      <w:r>
        <w:t>y</w:t>
      </w:r>
      <w:r>
        <w:rPr>
          <w:spacing w:val="-15"/>
        </w:rPr>
        <w:t xml:space="preserve"> </w:t>
      </w:r>
      <w:r>
        <w:t>a</w:t>
      </w:r>
      <w:r>
        <w:rPr>
          <w:spacing w:val="-15"/>
        </w:rPr>
        <w:t xml:space="preserve"> </w:t>
      </w:r>
      <w:r>
        <w:t>la</w:t>
      </w:r>
      <w:r>
        <w:rPr>
          <w:spacing w:val="-15"/>
        </w:rPr>
        <w:t xml:space="preserve"> </w:t>
      </w:r>
      <w:r>
        <w:t>lucha</w:t>
      </w:r>
      <w:r>
        <w:rPr>
          <w:spacing w:val="-15"/>
        </w:rPr>
        <w:t xml:space="preserve"> </w:t>
      </w:r>
      <w:r>
        <w:t>contra</w:t>
      </w:r>
      <w:r>
        <w:rPr>
          <w:spacing w:val="-15"/>
        </w:rPr>
        <w:t xml:space="preserve"> </w:t>
      </w:r>
      <w:r>
        <w:t>la</w:t>
      </w:r>
      <w:r>
        <w:rPr>
          <w:spacing w:val="-15"/>
        </w:rPr>
        <w:t xml:space="preserve"> </w:t>
      </w:r>
      <w:r>
        <w:t>corrupción y el soborno. Esta obligación se incorporó al ordenamiento jurídico español inicialmente a través del Real decreto-ley 18/2017, de 24 de noviembre, que fue posteriormente derogado por la</w:t>
      </w:r>
      <w:r>
        <w:rPr>
          <w:spacing w:val="-1"/>
        </w:rPr>
        <w:t xml:space="preserve"> </w:t>
      </w:r>
      <w:r>
        <w:t>Ley</w:t>
      </w:r>
      <w:r>
        <w:rPr>
          <w:spacing w:val="-1"/>
        </w:rPr>
        <w:t xml:space="preserve"> </w:t>
      </w:r>
      <w:r>
        <w:t>11/2018,</w:t>
      </w:r>
      <w:r>
        <w:rPr>
          <w:spacing w:val="-1"/>
        </w:rPr>
        <w:t xml:space="preserve"> </w:t>
      </w:r>
      <w:r>
        <w:t>de 28 de diciembre (Ley 11/2018). Dicha ley contempla un alcance superior al de la NFRD y exige que la información incluida en el EINF sea verificada por un prestador independiente de servicios de verificación.</w:t>
      </w:r>
    </w:p>
    <w:p w14:paraId="04556A11" w14:textId="77777777" w:rsidR="006D28A6" w:rsidRDefault="006D28A6">
      <w:pPr>
        <w:pStyle w:val="Textoindependiente"/>
        <w:jc w:val="left"/>
      </w:pPr>
    </w:p>
    <w:p w14:paraId="5BD2AEFE" w14:textId="063682CF" w:rsidR="006D28A6" w:rsidRDefault="00A90500">
      <w:pPr>
        <w:pStyle w:val="Textoindependiente"/>
        <w:spacing w:before="1"/>
        <w:ind w:left="851" w:right="139"/>
      </w:pPr>
      <w:r>
        <w:t>La</w:t>
      </w:r>
      <w:r>
        <w:rPr>
          <w:spacing w:val="-11"/>
        </w:rPr>
        <w:t xml:space="preserve"> </w:t>
      </w:r>
      <w:r>
        <w:t>Directiva</w:t>
      </w:r>
      <w:r>
        <w:rPr>
          <w:spacing w:val="-12"/>
        </w:rPr>
        <w:t xml:space="preserve"> </w:t>
      </w:r>
      <w:r>
        <w:t>(UE)</w:t>
      </w:r>
      <w:r>
        <w:rPr>
          <w:spacing w:val="-10"/>
        </w:rPr>
        <w:t xml:space="preserve"> </w:t>
      </w:r>
      <w:r>
        <w:t>2022/2464</w:t>
      </w:r>
      <w:r>
        <w:rPr>
          <w:spacing w:val="-11"/>
        </w:rPr>
        <w:t xml:space="preserve"> </w:t>
      </w:r>
      <w:r>
        <w:t>del</w:t>
      </w:r>
      <w:r>
        <w:rPr>
          <w:spacing w:val="-10"/>
        </w:rPr>
        <w:t xml:space="preserve"> </w:t>
      </w:r>
      <w:r>
        <w:t>Parlamento</w:t>
      </w:r>
      <w:r>
        <w:rPr>
          <w:spacing w:val="-10"/>
        </w:rPr>
        <w:t xml:space="preserve"> </w:t>
      </w:r>
      <w:r>
        <w:t>Europeo</w:t>
      </w:r>
      <w:r>
        <w:rPr>
          <w:spacing w:val="-10"/>
        </w:rPr>
        <w:t xml:space="preserve"> </w:t>
      </w:r>
      <w:r>
        <w:t>y</w:t>
      </w:r>
      <w:r>
        <w:rPr>
          <w:spacing w:val="-11"/>
        </w:rPr>
        <w:t xml:space="preserve"> </w:t>
      </w:r>
      <w:r>
        <w:t>del</w:t>
      </w:r>
      <w:r>
        <w:rPr>
          <w:spacing w:val="-10"/>
        </w:rPr>
        <w:t xml:space="preserve"> </w:t>
      </w:r>
      <w:r>
        <w:t>Consejo,</w:t>
      </w:r>
      <w:r>
        <w:rPr>
          <w:spacing w:val="-11"/>
        </w:rPr>
        <w:t xml:space="preserve"> </w:t>
      </w:r>
      <w:r>
        <w:t>de</w:t>
      </w:r>
      <w:r>
        <w:rPr>
          <w:spacing w:val="-10"/>
        </w:rPr>
        <w:t xml:space="preserve"> </w:t>
      </w:r>
      <w:r>
        <w:t>14</w:t>
      </w:r>
      <w:r>
        <w:rPr>
          <w:spacing w:val="-13"/>
        </w:rPr>
        <w:t xml:space="preserve"> </w:t>
      </w:r>
      <w:r>
        <w:t>de</w:t>
      </w:r>
      <w:r>
        <w:rPr>
          <w:spacing w:val="-10"/>
        </w:rPr>
        <w:t xml:space="preserve"> </w:t>
      </w:r>
      <w:r>
        <w:t xml:space="preserve">diciembre de 2022, </w:t>
      </w:r>
      <w:r w:rsidR="00B01DB6">
        <w:t>por lo que respecta a la presentación de información sobre sostenibilidad por parte de las empresas</w:t>
      </w:r>
      <w:r>
        <w:t xml:space="preserve"> (CSRD, por sus siglas en inglés) ha reemplazado a la NFRD, ampliando su contenido y el número de entidades obligadas a reportar información de sostenibilidad, estableciendo un calendario de aplicación que varía según el tipo de empresa:</w:t>
      </w:r>
    </w:p>
    <w:p w14:paraId="3C90358B" w14:textId="77777777" w:rsidR="006D28A6" w:rsidRDefault="006D28A6">
      <w:pPr>
        <w:pStyle w:val="Textoindependiente"/>
        <w:spacing w:before="51"/>
        <w:jc w:val="left"/>
        <w:rPr>
          <w:sz w:val="20"/>
        </w:rPr>
      </w:pPr>
    </w:p>
    <w:tbl>
      <w:tblPr>
        <w:tblStyle w:val="TableNormal"/>
        <w:tblW w:w="0" w:type="auto"/>
        <w:tblInd w:w="8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0"/>
        <w:gridCol w:w="147"/>
        <w:gridCol w:w="5848"/>
      </w:tblGrid>
      <w:tr w:rsidR="006D28A6" w14:paraId="40BACCE8" w14:textId="77777777">
        <w:trPr>
          <w:trHeight w:val="299"/>
        </w:trPr>
        <w:tc>
          <w:tcPr>
            <w:tcW w:w="1520" w:type="dxa"/>
            <w:tcBorders>
              <w:top w:val="nil"/>
              <w:left w:val="nil"/>
              <w:right w:val="nil"/>
            </w:tcBorders>
            <w:shd w:val="clear" w:color="auto" w:fill="AC2044"/>
          </w:tcPr>
          <w:p w14:paraId="0362E539" w14:textId="77777777" w:rsidR="006D28A6" w:rsidRDefault="00A90500">
            <w:pPr>
              <w:pStyle w:val="TableParagraph"/>
              <w:spacing w:before="57"/>
              <w:ind w:left="451"/>
              <w:rPr>
                <w:sz w:val="16"/>
              </w:rPr>
            </w:pPr>
            <w:r>
              <w:rPr>
                <w:color w:val="FFFFFF"/>
                <w:spacing w:val="-2"/>
                <w:w w:val="105"/>
                <w:sz w:val="16"/>
              </w:rPr>
              <w:t>¿Cuándo?</w:t>
            </w:r>
          </w:p>
        </w:tc>
        <w:tc>
          <w:tcPr>
            <w:tcW w:w="147" w:type="dxa"/>
            <w:tcBorders>
              <w:top w:val="nil"/>
              <w:left w:val="nil"/>
              <w:bottom w:val="nil"/>
              <w:right w:val="nil"/>
            </w:tcBorders>
          </w:tcPr>
          <w:p w14:paraId="04007961" w14:textId="77777777" w:rsidR="006D28A6" w:rsidRDefault="006D28A6">
            <w:pPr>
              <w:pStyle w:val="TableParagraph"/>
              <w:rPr>
                <w:rFonts w:ascii="Times New Roman"/>
                <w:sz w:val="20"/>
              </w:rPr>
            </w:pPr>
          </w:p>
        </w:tc>
        <w:tc>
          <w:tcPr>
            <w:tcW w:w="5848" w:type="dxa"/>
            <w:tcBorders>
              <w:top w:val="nil"/>
              <w:left w:val="nil"/>
              <w:right w:val="nil"/>
            </w:tcBorders>
            <w:shd w:val="clear" w:color="auto" w:fill="AC2044"/>
          </w:tcPr>
          <w:p w14:paraId="213D1E29" w14:textId="77777777" w:rsidR="006D28A6" w:rsidRDefault="00A90500">
            <w:pPr>
              <w:pStyle w:val="TableParagraph"/>
              <w:spacing w:before="57"/>
              <w:ind w:left="14"/>
              <w:jc w:val="center"/>
              <w:rPr>
                <w:sz w:val="16"/>
              </w:rPr>
            </w:pPr>
            <w:r>
              <w:rPr>
                <w:color w:val="FFFFFF"/>
                <w:spacing w:val="-2"/>
                <w:w w:val="105"/>
                <w:sz w:val="16"/>
              </w:rPr>
              <w:t>¿Quién?</w:t>
            </w:r>
          </w:p>
        </w:tc>
      </w:tr>
      <w:tr w:rsidR="006D28A6" w14:paraId="04A528FF" w14:textId="77777777">
        <w:trPr>
          <w:trHeight w:val="481"/>
        </w:trPr>
        <w:tc>
          <w:tcPr>
            <w:tcW w:w="1520" w:type="dxa"/>
          </w:tcPr>
          <w:p w14:paraId="5953BB18" w14:textId="77777777" w:rsidR="006D28A6" w:rsidRDefault="00A90500">
            <w:pPr>
              <w:pStyle w:val="TableParagraph"/>
              <w:spacing w:before="51" w:line="242" w:lineRule="auto"/>
              <w:ind w:left="321" w:hanging="84"/>
              <w:rPr>
                <w:sz w:val="16"/>
              </w:rPr>
            </w:pPr>
            <w:r>
              <w:rPr>
                <w:spacing w:val="-4"/>
                <w:w w:val="105"/>
                <w:sz w:val="16"/>
              </w:rPr>
              <w:t>En</w:t>
            </w:r>
            <w:r>
              <w:rPr>
                <w:spacing w:val="-6"/>
                <w:w w:val="105"/>
                <w:sz w:val="16"/>
              </w:rPr>
              <w:t xml:space="preserve"> </w:t>
            </w:r>
            <w:r>
              <w:rPr>
                <w:spacing w:val="-4"/>
                <w:w w:val="105"/>
                <w:sz w:val="16"/>
              </w:rPr>
              <w:t>2025</w:t>
            </w:r>
            <w:r>
              <w:rPr>
                <w:spacing w:val="-6"/>
                <w:w w:val="105"/>
                <w:sz w:val="16"/>
              </w:rPr>
              <w:t xml:space="preserve"> </w:t>
            </w:r>
            <w:r>
              <w:rPr>
                <w:spacing w:val="-4"/>
                <w:w w:val="105"/>
                <w:sz w:val="16"/>
              </w:rPr>
              <w:t>sobre</w:t>
            </w:r>
            <w:r>
              <w:rPr>
                <w:spacing w:val="-6"/>
                <w:w w:val="105"/>
                <w:sz w:val="16"/>
              </w:rPr>
              <w:t xml:space="preserve"> </w:t>
            </w:r>
            <w:r>
              <w:rPr>
                <w:spacing w:val="-4"/>
                <w:w w:val="105"/>
                <w:sz w:val="16"/>
              </w:rPr>
              <w:t>el</w:t>
            </w:r>
            <w:r>
              <w:rPr>
                <w:spacing w:val="40"/>
                <w:w w:val="105"/>
                <w:sz w:val="16"/>
              </w:rPr>
              <w:t xml:space="preserve"> </w:t>
            </w:r>
            <w:r>
              <w:rPr>
                <w:w w:val="105"/>
                <w:sz w:val="16"/>
              </w:rPr>
              <w:t>ejercicio</w:t>
            </w:r>
            <w:r>
              <w:rPr>
                <w:spacing w:val="-10"/>
                <w:w w:val="105"/>
                <w:sz w:val="16"/>
              </w:rPr>
              <w:t xml:space="preserve"> </w:t>
            </w:r>
            <w:r>
              <w:rPr>
                <w:w w:val="105"/>
                <w:sz w:val="16"/>
              </w:rPr>
              <w:t>2024</w:t>
            </w:r>
          </w:p>
        </w:tc>
        <w:tc>
          <w:tcPr>
            <w:tcW w:w="147" w:type="dxa"/>
            <w:tcBorders>
              <w:top w:val="nil"/>
              <w:bottom w:val="nil"/>
            </w:tcBorders>
          </w:tcPr>
          <w:p w14:paraId="7C3D6740" w14:textId="77777777" w:rsidR="006D28A6" w:rsidRDefault="006D28A6">
            <w:pPr>
              <w:pStyle w:val="TableParagraph"/>
              <w:rPr>
                <w:rFonts w:ascii="Times New Roman"/>
                <w:sz w:val="20"/>
              </w:rPr>
            </w:pPr>
          </w:p>
        </w:tc>
        <w:tc>
          <w:tcPr>
            <w:tcW w:w="5848" w:type="dxa"/>
          </w:tcPr>
          <w:p w14:paraId="5AAEF2CA" w14:textId="6ECD76AB" w:rsidR="006D28A6" w:rsidRDefault="00A90500">
            <w:pPr>
              <w:pStyle w:val="TableParagraph"/>
              <w:spacing w:before="142"/>
              <w:ind w:left="20" w:right="6"/>
              <w:jc w:val="center"/>
              <w:rPr>
                <w:sz w:val="16"/>
              </w:rPr>
            </w:pPr>
            <w:r>
              <w:rPr>
                <w:b/>
                <w:sz w:val="16"/>
              </w:rPr>
              <w:t>“</w:t>
            </w:r>
            <w:r>
              <w:rPr>
                <w:b/>
                <w:i/>
                <w:sz w:val="16"/>
              </w:rPr>
              <w:t>Fase</w:t>
            </w:r>
            <w:r>
              <w:rPr>
                <w:b/>
                <w:i/>
                <w:spacing w:val="-1"/>
                <w:sz w:val="16"/>
              </w:rPr>
              <w:t xml:space="preserve"> </w:t>
            </w:r>
            <w:r>
              <w:rPr>
                <w:b/>
                <w:i/>
                <w:sz w:val="16"/>
              </w:rPr>
              <w:t>1</w:t>
            </w:r>
            <w:r>
              <w:rPr>
                <w:b/>
                <w:sz w:val="16"/>
              </w:rPr>
              <w:t>”</w:t>
            </w:r>
            <w:r>
              <w:rPr>
                <w:sz w:val="16"/>
              </w:rPr>
              <w:t>:</w:t>
            </w:r>
            <w:r>
              <w:rPr>
                <w:spacing w:val="-6"/>
                <w:sz w:val="16"/>
              </w:rPr>
              <w:t xml:space="preserve"> </w:t>
            </w:r>
            <w:r>
              <w:rPr>
                <w:sz w:val="16"/>
              </w:rPr>
              <w:t>Grandes</w:t>
            </w:r>
            <w:r>
              <w:rPr>
                <w:spacing w:val="-5"/>
                <w:sz w:val="16"/>
              </w:rPr>
              <w:t xml:space="preserve"> </w:t>
            </w:r>
            <w:r w:rsidR="00E62CA5">
              <w:rPr>
                <w:sz w:val="16"/>
              </w:rPr>
              <w:t>entidade</w:t>
            </w:r>
            <w:r>
              <w:rPr>
                <w:sz w:val="16"/>
              </w:rPr>
              <w:t>s</w:t>
            </w:r>
            <w:r>
              <w:rPr>
                <w:spacing w:val="-6"/>
                <w:sz w:val="16"/>
              </w:rPr>
              <w:t xml:space="preserve"> </w:t>
            </w:r>
            <w:r>
              <w:rPr>
                <w:sz w:val="16"/>
              </w:rPr>
              <w:t>de</w:t>
            </w:r>
            <w:r>
              <w:rPr>
                <w:spacing w:val="-2"/>
                <w:sz w:val="16"/>
              </w:rPr>
              <w:t xml:space="preserve"> </w:t>
            </w:r>
            <w:r>
              <w:rPr>
                <w:sz w:val="16"/>
              </w:rPr>
              <w:t>interés</w:t>
            </w:r>
            <w:r>
              <w:rPr>
                <w:spacing w:val="-5"/>
                <w:sz w:val="16"/>
              </w:rPr>
              <w:t xml:space="preserve"> </w:t>
            </w:r>
            <w:r>
              <w:rPr>
                <w:sz w:val="16"/>
              </w:rPr>
              <w:t>público</w:t>
            </w:r>
            <w:r>
              <w:rPr>
                <w:spacing w:val="-4"/>
                <w:sz w:val="16"/>
              </w:rPr>
              <w:t xml:space="preserve"> </w:t>
            </w:r>
            <w:r>
              <w:rPr>
                <w:sz w:val="16"/>
              </w:rPr>
              <w:t>con</w:t>
            </w:r>
            <w:r>
              <w:rPr>
                <w:spacing w:val="-2"/>
                <w:sz w:val="16"/>
              </w:rPr>
              <w:t xml:space="preserve"> </w:t>
            </w:r>
            <w:r>
              <w:rPr>
                <w:sz w:val="16"/>
              </w:rPr>
              <w:t>más</w:t>
            </w:r>
            <w:r>
              <w:rPr>
                <w:spacing w:val="-6"/>
                <w:sz w:val="16"/>
              </w:rPr>
              <w:t xml:space="preserve"> </w:t>
            </w:r>
            <w:r>
              <w:rPr>
                <w:sz w:val="16"/>
              </w:rPr>
              <w:t>de</w:t>
            </w:r>
            <w:r>
              <w:rPr>
                <w:spacing w:val="-2"/>
                <w:sz w:val="16"/>
              </w:rPr>
              <w:t xml:space="preserve"> </w:t>
            </w:r>
            <w:r>
              <w:rPr>
                <w:sz w:val="16"/>
              </w:rPr>
              <w:t>500</w:t>
            </w:r>
            <w:r>
              <w:rPr>
                <w:spacing w:val="-5"/>
                <w:sz w:val="16"/>
              </w:rPr>
              <w:t xml:space="preserve"> </w:t>
            </w:r>
            <w:r>
              <w:rPr>
                <w:spacing w:val="-2"/>
                <w:sz w:val="16"/>
              </w:rPr>
              <w:t>empleados</w:t>
            </w:r>
          </w:p>
        </w:tc>
      </w:tr>
      <w:tr w:rsidR="006D28A6" w14:paraId="67CB79AF" w14:textId="77777777">
        <w:trPr>
          <w:trHeight w:val="73"/>
        </w:trPr>
        <w:tc>
          <w:tcPr>
            <w:tcW w:w="1520" w:type="dxa"/>
            <w:tcBorders>
              <w:left w:val="nil"/>
              <w:right w:val="nil"/>
            </w:tcBorders>
          </w:tcPr>
          <w:p w14:paraId="4F226A8B" w14:textId="77777777" w:rsidR="006D28A6" w:rsidRDefault="006D28A6">
            <w:pPr>
              <w:pStyle w:val="TableParagraph"/>
              <w:rPr>
                <w:rFonts w:ascii="Times New Roman"/>
                <w:sz w:val="2"/>
              </w:rPr>
            </w:pPr>
          </w:p>
        </w:tc>
        <w:tc>
          <w:tcPr>
            <w:tcW w:w="147" w:type="dxa"/>
            <w:tcBorders>
              <w:top w:val="nil"/>
              <w:left w:val="nil"/>
              <w:bottom w:val="nil"/>
              <w:right w:val="nil"/>
            </w:tcBorders>
          </w:tcPr>
          <w:p w14:paraId="765E4144" w14:textId="77777777" w:rsidR="006D28A6" w:rsidRDefault="006D28A6">
            <w:pPr>
              <w:pStyle w:val="TableParagraph"/>
              <w:rPr>
                <w:rFonts w:ascii="Times New Roman"/>
                <w:sz w:val="2"/>
              </w:rPr>
            </w:pPr>
          </w:p>
        </w:tc>
        <w:tc>
          <w:tcPr>
            <w:tcW w:w="5848" w:type="dxa"/>
            <w:tcBorders>
              <w:left w:val="nil"/>
              <w:right w:val="nil"/>
            </w:tcBorders>
          </w:tcPr>
          <w:p w14:paraId="18FAC7B0" w14:textId="77777777" w:rsidR="006D28A6" w:rsidRDefault="006D28A6">
            <w:pPr>
              <w:pStyle w:val="TableParagraph"/>
              <w:rPr>
                <w:rFonts w:ascii="Times New Roman"/>
                <w:sz w:val="2"/>
              </w:rPr>
            </w:pPr>
          </w:p>
        </w:tc>
      </w:tr>
      <w:tr w:rsidR="006D28A6" w14:paraId="0F4B438E" w14:textId="77777777">
        <w:trPr>
          <w:trHeight w:val="480"/>
        </w:trPr>
        <w:tc>
          <w:tcPr>
            <w:tcW w:w="1520" w:type="dxa"/>
          </w:tcPr>
          <w:p w14:paraId="04082B1C" w14:textId="77777777" w:rsidR="006D28A6" w:rsidRDefault="00A90500">
            <w:pPr>
              <w:pStyle w:val="TableParagraph"/>
              <w:spacing w:before="49" w:line="242" w:lineRule="auto"/>
              <w:ind w:left="321" w:hanging="84"/>
              <w:rPr>
                <w:sz w:val="16"/>
              </w:rPr>
            </w:pPr>
            <w:r>
              <w:rPr>
                <w:spacing w:val="-4"/>
                <w:w w:val="105"/>
                <w:sz w:val="16"/>
              </w:rPr>
              <w:t>En</w:t>
            </w:r>
            <w:r>
              <w:rPr>
                <w:spacing w:val="-6"/>
                <w:w w:val="105"/>
                <w:sz w:val="16"/>
              </w:rPr>
              <w:t xml:space="preserve"> </w:t>
            </w:r>
            <w:r>
              <w:rPr>
                <w:spacing w:val="-4"/>
                <w:w w:val="105"/>
                <w:sz w:val="16"/>
              </w:rPr>
              <w:t>2026</w:t>
            </w:r>
            <w:r>
              <w:rPr>
                <w:spacing w:val="-6"/>
                <w:w w:val="105"/>
                <w:sz w:val="16"/>
              </w:rPr>
              <w:t xml:space="preserve"> </w:t>
            </w:r>
            <w:r>
              <w:rPr>
                <w:spacing w:val="-4"/>
                <w:w w:val="105"/>
                <w:sz w:val="16"/>
              </w:rPr>
              <w:t>sobre</w:t>
            </w:r>
            <w:r>
              <w:rPr>
                <w:spacing w:val="-6"/>
                <w:w w:val="105"/>
                <w:sz w:val="16"/>
              </w:rPr>
              <w:t xml:space="preserve"> </w:t>
            </w:r>
            <w:r>
              <w:rPr>
                <w:spacing w:val="-4"/>
                <w:w w:val="105"/>
                <w:sz w:val="16"/>
              </w:rPr>
              <w:t>el</w:t>
            </w:r>
            <w:r>
              <w:rPr>
                <w:spacing w:val="40"/>
                <w:w w:val="105"/>
                <w:sz w:val="16"/>
              </w:rPr>
              <w:t xml:space="preserve"> </w:t>
            </w:r>
            <w:r>
              <w:rPr>
                <w:w w:val="105"/>
                <w:sz w:val="16"/>
              </w:rPr>
              <w:t>ejercicio</w:t>
            </w:r>
            <w:r>
              <w:rPr>
                <w:spacing w:val="-10"/>
                <w:w w:val="105"/>
                <w:sz w:val="16"/>
              </w:rPr>
              <w:t xml:space="preserve"> </w:t>
            </w:r>
            <w:r>
              <w:rPr>
                <w:w w:val="105"/>
                <w:sz w:val="16"/>
              </w:rPr>
              <w:t>2025</w:t>
            </w:r>
          </w:p>
        </w:tc>
        <w:tc>
          <w:tcPr>
            <w:tcW w:w="147" w:type="dxa"/>
            <w:tcBorders>
              <w:top w:val="nil"/>
              <w:bottom w:val="nil"/>
            </w:tcBorders>
          </w:tcPr>
          <w:p w14:paraId="486A804D" w14:textId="77777777" w:rsidR="006D28A6" w:rsidRDefault="006D28A6">
            <w:pPr>
              <w:pStyle w:val="TableParagraph"/>
              <w:rPr>
                <w:rFonts w:ascii="Times New Roman"/>
                <w:sz w:val="20"/>
              </w:rPr>
            </w:pPr>
          </w:p>
        </w:tc>
        <w:tc>
          <w:tcPr>
            <w:tcW w:w="5848" w:type="dxa"/>
          </w:tcPr>
          <w:p w14:paraId="38C8ED7A" w14:textId="77777777" w:rsidR="006D28A6" w:rsidRDefault="00A90500">
            <w:pPr>
              <w:pStyle w:val="TableParagraph"/>
              <w:spacing w:before="43" w:line="242" w:lineRule="auto"/>
              <w:ind w:left="1784" w:hanging="1659"/>
              <w:rPr>
                <w:sz w:val="16"/>
              </w:rPr>
            </w:pPr>
            <w:r>
              <w:rPr>
                <w:b/>
                <w:spacing w:val="-4"/>
                <w:w w:val="105"/>
                <w:sz w:val="16"/>
              </w:rPr>
              <w:t>“</w:t>
            </w:r>
            <w:r>
              <w:rPr>
                <w:b/>
                <w:i/>
                <w:spacing w:val="-4"/>
                <w:w w:val="105"/>
                <w:sz w:val="16"/>
              </w:rPr>
              <w:t>Fase</w:t>
            </w:r>
            <w:r>
              <w:rPr>
                <w:b/>
                <w:i/>
                <w:sz w:val="16"/>
              </w:rPr>
              <w:t xml:space="preserve"> </w:t>
            </w:r>
            <w:r>
              <w:rPr>
                <w:b/>
                <w:i/>
                <w:spacing w:val="-4"/>
                <w:w w:val="105"/>
                <w:sz w:val="16"/>
              </w:rPr>
              <w:t>2</w:t>
            </w:r>
            <w:r>
              <w:rPr>
                <w:b/>
                <w:spacing w:val="-4"/>
                <w:w w:val="105"/>
                <w:sz w:val="16"/>
              </w:rPr>
              <w:t>”</w:t>
            </w:r>
            <w:r>
              <w:rPr>
                <w:spacing w:val="-4"/>
                <w:w w:val="105"/>
                <w:sz w:val="16"/>
              </w:rPr>
              <w:t>: Resto de grandes empresas (+250 empleados y/o facturación de 50 millones €</w:t>
            </w:r>
            <w:r>
              <w:rPr>
                <w:spacing w:val="40"/>
                <w:w w:val="105"/>
                <w:sz w:val="16"/>
              </w:rPr>
              <w:t xml:space="preserve"> </w:t>
            </w:r>
            <w:r>
              <w:rPr>
                <w:w w:val="105"/>
                <w:sz w:val="16"/>
              </w:rPr>
              <w:t>y/o activos totales de 25 millones €)</w:t>
            </w:r>
          </w:p>
        </w:tc>
      </w:tr>
      <w:tr w:rsidR="006D28A6" w14:paraId="198B5380" w14:textId="77777777">
        <w:trPr>
          <w:trHeight w:val="76"/>
        </w:trPr>
        <w:tc>
          <w:tcPr>
            <w:tcW w:w="1520" w:type="dxa"/>
            <w:tcBorders>
              <w:left w:val="nil"/>
              <w:right w:val="nil"/>
            </w:tcBorders>
          </w:tcPr>
          <w:p w14:paraId="556B5715" w14:textId="77777777" w:rsidR="006D28A6" w:rsidRDefault="006D28A6">
            <w:pPr>
              <w:pStyle w:val="TableParagraph"/>
              <w:rPr>
                <w:rFonts w:ascii="Times New Roman"/>
                <w:sz w:val="2"/>
              </w:rPr>
            </w:pPr>
          </w:p>
        </w:tc>
        <w:tc>
          <w:tcPr>
            <w:tcW w:w="147" w:type="dxa"/>
            <w:tcBorders>
              <w:top w:val="nil"/>
              <w:left w:val="nil"/>
              <w:bottom w:val="nil"/>
              <w:right w:val="nil"/>
            </w:tcBorders>
          </w:tcPr>
          <w:p w14:paraId="11F898D3" w14:textId="77777777" w:rsidR="006D28A6" w:rsidRDefault="006D28A6">
            <w:pPr>
              <w:pStyle w:val="TableParagraph"/>
              <w:rPr>
                <w:rFonts w:ascii="Times New Roman"/>
                <w:sz w:val="2"/>
              </w:rPr>
            </w:pPr>
          </w:p>
        </w:tc>
        <w:tc>
          <w:tcPr>
            <w:tcW w:w="5848" w:type="dxa"/>
            <w:tcBorders>
              <w:left w:val="nil"/>
              <w:right w:val="nil"/>
            </w:tcBorders>
          </w:tcPr>
          <w:p w14:paraId="090B821D" w14:textId="77777777" w:rsidR="006D28A6" w:rsidRDefault="006D28A6">
            <w:pPr>
              <w:pStyle w:val="TableParagraph"/>
              <w:rPr>
                <w:rFonts w:ascii="Times New Roman"/>
                <w:sz w:val="2"/>
              </w:rPr>
            </w:pPr>
          </w:p>
        </w:tc>
      </w:tr>
      <w:tr w:rsidR="006D28A6" w14:paraId="0BA704F2" w14:textId="77777777">
        <w:trPr>
          <w:trHeight w:val="575"/>
        </w:trPr>
        <w:tc>
          <w:tcPr>
            <w:tcW w:w="1520" w:type="dxa"/>
          </w:tcPr>
          <w:p w14:paraId="110F1B7C" w14:textId="77777777" w:rsidR="006D28A6" w:rsidRDefault="00A90500">
            <w:pPr>
              <w:pStyle w:val="TableParagraph"/>
              <w:spacing w:before="97" w:line="242" w:lineRule="auto"/>
              <w:ind w:left="321" w:hanging="84"/>
              <w:rPr>
                <w:sz w:val="16"/>
              </w:rPr>
            </w:pPr>
            <w:r>
              <w:rPr>
                <w:spacing w:val="-4"/>
                <w:w w:val="105"/>
                <w:sz w:val="16"/>
              </w:rPr>
              <w:t>En</w:t>
            </w:r>
            <w:r>
              <w:rPr>
                <w:spacing w:val="-6"/>
                <w:w w:val="105"/>
                <w:sz w:val="16"/>
              </w:rPr>
              <w:t xml:space="preserve"> </w:t>
            </w:r>
            <w:r>
              <w:rPr>
                <w:spacing w:val="-4"/>
                <w:w w:val="105"/>
                <w:sz w:val="16"/>
              </w:rPr>
              <w:t>2027</w:t>
            </w:r>
            <w:r>
              <w:rPr>
                <w:spacing w:val="-6"/>
                <w:w w:val="105"/>
                <w:sz w:val="16"/>
              </w:rPr>
              <w:t xml:space="preserve"> </w:t>
            </w:r>
            <w:r>
              <w:rPr>
                <w:spacing w:val="-4"/>
                <w:w w:val="105"/>
                <w:sz w:val="16"/>
              </w:rPr>
              <w:t>sobre</w:t>
            </w:r>
            <w:r>
              <w:rPr>
                <w:spacing w:val="-6"/>
                <w:w w:val="105"/>
                <w:sz w:val="16"/>
              </w:rPr>
              <w:t xml:space="preserve"> </w:t>
            </w:r>
            <w:r>
              <w:rPr>
                <w:spacing w:val="-4"/>
                <w:w w:val="105"/>
                <w:sz w:val="16"/>
              </w:rPr>
              <w:t>el</w:t>
            </w:r>
            <w:r>
              <w:rPr>
                <w:spacing w:val="40"/>
                <w:w w:val="105"/>
                <w:sz w:val="16"/>
              </w:rPr>
              <w:t xml:space="preserve"> </w:t>
            </w:r>
            <w:r>
              <w:rPr>
                <w:w w:val="105"/>
                <w:sz w:val="16"/>
              </w:rPr>
              <w:t>ejercicio</w:t>
            </w:r>
            <w:r>
              <w:rPr>
                <w:spacing w:val="-10"/>
                <w:w w:val="105"/>
                <w:sz w:val="16"/>
              </w:rPr>
              <w:t xml:space="preserve"> </w:t>
            </w:r>
            <w:r>
              <w:rPr>
                <w:w w:val="105"/>
                <w:sz w:val="16"/>
              </w:rPr>
              <w:t>2026</w:t>
            </w:r>
          </w:p>
        </w:tc>
        <w:tc>
          <w:tcPr>
            <w:tcW w:w="147" w:type="dxa"/>
            <w:tcBorders>
              <w:top w:val="nil"/>
              <w:bottom w:val="nil"/>
            </w:tcBorders>
          </w:tcPr>
          <w:p w14:paraId="0B9E308D" w14:textId="77777777" w:rsidR="006D28A6" w:rsidRDefault="006D28A6">
            <w:pPr>
              <w:pStyle w:val="TableParagraph"/>
              <w:rPr>
                <w:rFonts w:ascii="Times New Roman"/>
                <w:sz w:val="20"/>
              </w:rPr>
            </w:pPr>
          </w:p>
        </w:tc>
        <w:tc>
          <w:tcPr>
            <w:tcW w:w="5848" w:type="dxa"/>
          </w:tcPr>
          <w:p w14:paraId="4EB95628" w14:textId="77777777" w:rsidR="006D28A6" w:rsidRDefault="00A90500">
            <w:pPr>
              <w:pStyle w:val="TableParagraph"/>
              <w:spacing w:line="191" w:lineRule="exact"/>
              <w:ind w:left="20" w:right="9"/>
              <w:jc w:val="center"/>
              <w:rPr>
                <w:sz w:val="16"/>
              </w:rPr>
            </w:pPr>
            <w:r>
              <w:rPr>
                <w:b/>
                <w:sz w:val="16"/>
              </w:rPr>
              <w:t>“</w:t>
            </w:r>
            <w:r>
              <w:rPr>
                <w:b/>
                <w:i/>
                <w:sz w:val="16"/>
              </w:rPr>
              <w:t>Fase</w:t>
            </w:r>
            <w:r>
              <w:rPr>
                <w:b/>
                <w:i/>
                <w:spacing w:val="-3"/>
                <w:sz w:val="16"/>
              </w:rPr>
              <w:t xml:space="preserve"> </w:t>
            </w:r>
            <w:r>
              <w:rPr>
                <w:b/>
                <w:i/>
                <w:sz w:val="16"/>
              </w:rPr>
              <w:t>3</w:t>
            </w:r>
            <w:r>
              <w:rPr>
                <w:b/>
                <w:sz w:val="16"/>
              </w:rPr>
              <w:t>”</w:t>
            </w:r>
            <w:r>
              <w:rPr>
                <w:sz w:val="16"/>
              </w:rPr>
              <w:t>:</w:t>
            </w:r>
            <w:r>
              <w:rPr>
                <w:spacing w:val="-8"/>
                <w:sz w:val="16"/>
              </w:rPr>
              <w:t xml:space="preserve"> </w:t>
            </w:r>
            <w:r>
              <w:rPr>
                <w:sz w:val="16"/>
              </w:rPr>
              <w:t>Pymes</w:t>
            </w:r>
            <w:r>
              <w:rPr>
                <w:spacing w:val="-5"/>
                <w:sz w:val="16"/>
              </w:rPr>
              <w:t xml:space="preserve"> </w:t>
            </w:r>
            <w:r>
              <w:rPr>
                <w:sz w:val="16"/>
              </w:rPr>
              <w:t>cotizadas</w:t>
            </w:r>
            <w:r>
              <w:rPr>
                <w:spacing w:val="-4"/>
                <w:sz w:val="16"/>
              </w:rPr>
              <w:t xml:space="preserve"> </w:t>
            </w:r>
            <w:r>
              <w:rPr>
                <w:sz w:val="16"/>
              </w:rPr>
              <w:t>(excepto</w:t>
            </w:r>
            <w:r>
              <w:rPr>
                <w:spacing w:val="-6"/>
                <w:sz w:val="16"/>
              </w:rPr>
              <w:t xml:space="preserve"> </w:t>
            </w:r>
            <w:r>
              <w:rPr>
                <w:sz w:val="16"/>
              </w:rPr>
              <w:t>microempresas),</w:t>
            </w:r>
            <w:r>
              <w:rPr>
                <w:spacing w:val="-9"/>
                <w:sz w:val="16"/>
              </w:rPr>
              <w:t xml:space="preserve"> </w:t>
            </w:r>
            <w:r>
              <w:rPr>
                <w:sz w:val="16"/>
              </w:rPr>
              <w:t>entidades</w:t>
            </w:r>
            <w:r>
              <w:rPr>
                <w:spacing w:val="-5"/>
                <w:sz w:val="16"/>
              </w:rPr>
              <w:t xml:space="preserve"> </w:t>
            </w:r>
            <w:r>
              <w:rPr>
                <w:sz w:val="16"/>
              </w:rPr>
              <w:t>de</w:t>
            </w:r>
            <w:r>
              <w:rPr>
                <w:spacing w:val="-3"/>
                <w:sz w:val="16"/>
              </w:rPr>
              <w:t xml:space="preserve"> </w:t>
            </w:r>
            <w:r>
              <w:rPr>
                <w:sz w:val="16"/>
              </w:rPr>
              <w:t>crédito</w:t>
            </w:r>
            <w:r>
              <w:rPr>
                <w:spacing w:val="-4"/>
                <w:sz w:val="16"/>
              </w:rPr>
              <w:t xml:space="preserve"> </w:t>
            </w:r>
            <w:r>
              <w:rPr>
                <w:sz w:val="16"/>
              </w:rPr>
              <w:t>pequeñas</w:t>
            </w:r>
            <w:r>
              <w:rPr>
                <w:spacing w:val="-8"/>
                <w:sz w:val="16"/>
              </w:rPr>
              <w:t xml:space="preserve"> </w:t>
            </w:r>
            <w:r>
              <w:rPr>
                <w:sz w:val="16"/>
              </w:rPr>
              <w:t>y</w:t>
            </w:r>
            <w:r>
              <w:rPr>
                <w:spacing w:val="-7"/>
                <w:sz w:val="16"/>
              </w:rPr>
              <w:t xml:space="preserve"> no</w:t>
            </w:r>
          </w:p>
          <w:p w14:paraId="372B1A91" w14:textId="77777777" w:rsidR="006D28A6" w:rsidRDefault="00A90500">
            <w:pPr>
              <w:pStyle w:val="TableParagraph"/>
              <w:spacing w:line="190" w:lineRule="atLeast"/>
              <w:ind w:left="20"/>
              <w:jc w:val="center"/>
              <w:rPr>
                <w:sz w:val="16"/>
              </w:rPr>
            </w:pPr>
            <w:r>
              <w:rPr>
                <w:spacing w:val="-4"/>
                <w:w w:val="105"/>
                <w:sz w:val="16"/>
              </w:rPr>
              <w:t>complejas,</w:t>
            </w:r>
            <w:r>
              <w:rPr>
                <w:spacing w:val="-5"/>
                <w:w w:val="105"/>
                <w:sz w:val="16"/>
              </w:rPr>
              <w:t xml:space="preserve"> </w:t>
            </w:r>
            <w:r>
              <w:rPr>
                <w:spacing w:val="-4"/>
                <w:w w:val="105"/>
                <w:sz w:val="16"/>
              </w:rPr>
              <w:t>empresas de seguros pequeñas</w:t>
            </w:r>
            <w:r>
              <w:rPr>
                <w:spacing w:val="-5"/>
                <w:w w:val="105"/>
                <w:sz w:val="16"/>
              </w:rPr>
              <w:t xml:space="preserve"> </w:t>
            </w:r>
            <w:r>
              <w:rPr>
                <w:spacing w:val="-4"/>
                <w:w w:val="105"/>
                <w:sz w:val="16"/>
              </w:rPr>
              <w:t>y</w:t>
            </w:r>
            <w:r>
              <w:rPr>
                <w:spacing w:val="-5"/>
                <w:w w:val="105"/>
                <w:sz w:val="16"/>
              </w:rPr>
              <w:t xml:space="preserve"> </w:t>
            </w:r>
            <w:r>
              <w:rPr>
                <w:spacing w:val="-4"/>
                <w:w w:val="105"/>
                <w:sz w:val="16"/>
              </w:rPr>
              <w:t>no complejas y</w:t>
            </w:r>
            <w:r>
              <w:rPr>
                <w:spacing w:val="-5"/>
                <w:w w:val="105"/>
                <w:sz w:val="16"/>
              </w:rPr>
              <w:t xml:space="preserve"> </w:t>
            </w:r>
            <w:r>
              <w:rPr>
                <w:spacing w:val="-4"/>
                <w:w w:val="105"/>
                <w:sz w:val="16"/>
              </w:rPr>
              <w:t>empresas de seguro y</w:t>
            </w:r>
            <w:r>
              <w:rPr>
                <w:spacing w:val="40"/>
                <w:w w:val="105"/>
                <w:sz w:val="16"/>
              </w:rPr>
              <w:t xml:space="preserve"> </w:t>
            </w:r>
            <w:r>
              <w:rPr>
                <w:w w:val="105"/>
                <w:sz w:val="16"/>
              </w:rPr>
              <w:t>reaseguro</w:t>
            </w:r>
            <w:r>
              <w:rPr>
                <w:spacing w:val="-10"/>
                <w:w w:val="105"/>
                <w:sz w:val="16"/>
              </w:rPr>
              <w:t xml:space="preserve"> </w:t>
            </w:r>
            <w:r>
              <w:rPr>
                <w:w w:val="105"/>
                <w:sz w:val="16"/>
              </w:rPr>
              <w:t>cautivas</w:t>
            </w:r>
          </w:p>
        </w:tc>
      </w:tr>
      <w:tr w:rsidR="006D28A6" w14:paraId="3E9E11B7" w14:textId="77777777">
        <w:trPr>
          <w:trHeight w:val="74"/>
        </w:trPr>
        <w:tc>
          <w:tcPr>
            <w:tcW w:w="1520" w:type="dxa"/>
            <w:tcBorders>
              <w:left w:val="nil"/>
              <w:right w:val="nil"/>
            </w:tcBorders>
          </w:tcPr>
          <w:p w14:paraId="21756A58" w14:textId="77777777" w:rsidR="006D28A6" w:rsidRDefault="006D28A6">
            <w:pPr>
              <w:pStyle w:val="TableParagraph"/>
              <w:rPr>
                <w:rFonts w:ascii="Times New Roman"/>
                <w:sz w:val="2"/>
              </w:rPr>
            </w:pPr>
          </w:p>
        </w:tc>
        <w:tc>
          <w:tcPr>
            <w:tcW w:w="147" w:type="dxa"/>
            <w:tcBorders>
              <w:top w:val="nil"/>
              <w:left w:val="nil"/>
              <w:bottom w:val="nil"/>
              <w:right w:val="nil"/>
            </w:tcBorders>
          </w:tcPr>
          <w:p w14:paraId="307D6ED0" w14:textId="77777777" w:rsidR="006D28A6" w:rsidRDefault="006D28A6">
            <w:pPr>
              <w:pStyle w:val="TableParagraph"/>
              <w:rPr>
                <w:rFonts w:ascii="Times New Roman"/>
                <w:sz w:val="2"/>
              </w:rPr>
            </w:pPr>
          </w:p>
        </w:tc>
        <w:tc>
          <w:tcPr>
            <w:tcW w:w="5848" w:type="dxa"/>
            <w:tcBorders>
              <w:left w:val="nil"/>
              <w:right w:val="nil"/>
            </w:tcBorders>
          </w:tcPr>
          <w:p w14:paraId="5710E7EB" w14:textId="77777777" w:rsidR="006D28A6" w:rsidRDefault="006D28A6">
            <w:pPr>
              <w:pStyle w:val="TableParagraph"/>
              <w:rPr>
                <w:rFonts w:ascii="Times New Roman"/>
                <w:sz w:val="2"/>
              </w:rPr>
            </w:pPr>
          </w:p>
        </w:tc>
      </w:tr>
      <w:tr w:rsidR="006D28A6" w14:paraId="2831FD05" w14:textId="77777777">
        <w:trPr>
          <w:trHeight w:val="481"/>
        </w:trPr>
        <w:tc>
          <w:tcPr>
            <w:tcW w:w="1520" w:type="dxa"/>
          </w:tcPr>
          <w:p w14:paraId="511A702C" w14:textId="77777777" w:rsidR="006D28A6" w:rsidRDefault="00A90500">
            <w:pPr>
              <w:pStyle w:val="TableParagraph"/>
              <w:spacing w:before="49" w:line="242" w:lineRule="auto"/>
              <w:ind w:left="321" w:hanging="84"/>
              <w:rPr>
                <w:sz w:val="16"/>
              </w:rPr>
            </w:pPr>
            <w:r>
              <w:rPr>
                <w:spacing w:val="-4"/>
                <w:w w:val="105"/>
                <w:sz w:val="16"/>
              </w:rPr>
              <w:t>En</w:t>
            </w:r>
            <w:r>
              <w:rPr>
                <w:spacing w:val="-6"/>
                <w:w w:val="105"/>
                <w:sz w:val="16"/>
              </w:rPr>
              <w:t xml:space="preserve"> </w:t>
            </w:r>
            <w:r>
              <w:rPr>
                <w:spacing w:val="-4"/>
                <w:w w:val="105"/>
                <w:sz w:val="16"/>
              </w:rPr>
              <w:t>2029</w:t>
            </w:r>
            <w:r>
              <w:rPr>
                <w:spacing w:val="-6"/>
                <w:w w:val="105"/>
                <w:sz w:val="16"/>
              </w:rPr>
              <w:t xml:space="preserve"> </w:t>
            </w:r>
            <w:r>
              <w:rPr>
                <w:spacing w:val="-4"/>
                <w:w w:val="105"/>
                <w:sz w:val="16"/>
              </w:rPr>
              <w:t>sobre</w:t>
            </w:r>
            <w:r>
              <w:rPr>
                <w:spacing w:val="-6"/>
                <w:w w:val="105"/>
                <w:sz w:val="16"/>
              </w:rPr>
              <w:t xml:space="preserve"> </w:t>
            </w:r>
            <w:r>
              <w:rPr>
                <w:spacing w:val="-4"/>
                <w:w w:val="105"/>
                <w:sz w:val="16"/>
              </w:rPr>
              <w:t>el</w:t>
            </w:r>
            <w:r>
              <w:rPr>
                <w:spacing w:val="40"/>
                <w:w w:val="105"/>
                <w:sz w:val="16"/>
              </w:rPr>
              <w:t xml:space="preserve"> </w:t>
            </w:r>
            <w:r>
              <w:rPr>
                <w:w w:val="105"/>
                <w:sz w:val="16"/>
              </w:rPr>
              <w:t>ejercicio</w:t>
            </w:r>
            <w:r>
              <w:rPr>
                <w:spacing w:val="-10"/>
                <w:w w:val="105"/>
                <w:sz w:val="16"/>
              </w:rPr>
              <w:t xml:space="preserve"> </w:t>
            </w:r>
            <w:r>
              <w:rPr>
                <w:w w:val="105"/>
                <w:sz w:val="16"/>
              </w:rPr>
              <w:t>2028</w:t>
            </w:r>
          </w:p>
        </w:tc>
        <w:tc>
          <w:tcPr>
            <w:tcW w:w="147" w:type="dxa"/>
            <w:tcBorders>
              <w:top w:val="nil"/>
              <w:bottom w:val="nil"/>
            </w:tcBorders>
          </w:tcPr>
          <w:p w14:paraId="7E4E27E4" w14:textId="77777777" w:rsidR="006D28A6" w:rsidRDefault="006D28A6">
            <w:pPr>
              <w:pStyle w:val="TableParagraph"/>
              <w:rPr>
                <w:rFonts w:ascii="Times New Roman"/>
                <w:sz w:val="20"/>
              </w:rPr>
            </w:pPr>
          </w:p>
        </w:tc>
        <w:tc>
          <w:tcPr>
            <w:tcW w:w="5848" w:type="dxa"/>
          </w:tcPr>
          <w:p w14:paraId="175D42DA" w14:textId="77777777" w:rsidR="006D28A6" w:rsidRDefault="00A90500">
            <w:pPr>
              <w:pStyle w:val="TableParagraph"/>
              <w:spacing w:before="43"/>
              <w:ind w:left="20" w:right="5"/>
              <w:jc w:val="center"/>
              <w:rPr>
                <w:sz w:val="16"/>
              </w:rPr>
            </w:pPr>
            <w:r>
              <w:rPr>
                <w:b/>
                <w:sz w:val="16"/>
              </w:rPr>
              <w:t>“</w:t>
            </w:r>
            <w:r>
              <w:rPr>
                <w:b/>
                <w:i/>
                <w:sz w:val="16"/>
              </w:rPr>
              <w:t>Fase</w:t>
            </w:r>
            <w:r>
              <w:rPr>
                <w:b/>
                <w:i/>
                <w:spacing w:val="-1"/>
                <w:sz w:val="16"/>
              </w:rPr>
              <w:t xml:space="preserve"> </w:t>
            </w:r>
            <w:r>
              <w:rPr>
                <w:b/>
                <w:i/>
                <w:sz w:val="16"/>
              </w:rPr>
              <w:t>4</w:t>
            </w:r>
            <w:r>
              <w:rPr>
                <w:b/>
                <w:sz w:val="16"/>
              </w:rPr>
              <w:t>”</w:t>
            </w:r>
            <w:r>
              <w:rPr>
                <w:sz w:val="16"/>
              </w:rPr>
              <w:t>:</w:t>
            </w:r>
            <w:r>
              <w:rPr>
                <w:spacing w:val="-3"/>
                <w:sz w:val="16"/>
              </w:rPr>
              <w:t xml:space="preserve"> </w:t>
            </w:r>
            <w:r>
              <w:rPr>
                <w:sz w:val="16"/>
              </w:rPr>
              <w:t>Empresas</w:t>
            </w:r>
            <w:r>
              <w:rPr>
                <w:spacing w:val="-6"/>
                <w:sz w:val="16"/>
              </w:rPr>
              <w:t xml:space="preserve"> </w:t>
            </w:r>
            <w:r>
              <w:rPr>
                <w:sz w:val="16"/>
              </w:rPr>
              <w:t>no</w:t>
            </w:r>
            <w:r>
              <w:rPr>
                <w:spacing w:val="-3"/>
                <w:sz w:val="16"/>
              </w:rPr>
              <w:t xml:space="preserve"> </w:t>
            </w:r>
            <w:r>
              <w:rPr>
                <w:sz w:val="16"/>
              </w:rPr>
              <w:t>europeas</w:t>
            </w:r>
            <w:r>
              <w:rPr>
                <w:spacing w:val="-3"/>
                <w:sz w:val="16"/>
              </w:rPr>
              <w:t xml:space="preserve"> </w:t>
            </w:r>
            <w:r>
              <w:rPr>
                <w:sz w:val="16"/>
              </w:rPr>
              <w:t>que</w:t>
            </w:r>
            <w:r>
              <w:rPr>
                <w:spacing w:val="-2"/>
                <w:sz w:val="16"/>
              </w:rPr>
              <w:t xml:space="preserve"> </w:t>
            </w:r>
            <w:r>
              <w:rPr>
                <w:sz w:val="16"/>
              </w:rPr>
              <w:t>generen</w:t>
            </w:r>
            <w:r>
              <w:rPr>
                <w:spacing w:val="-5"/>
                <w:sz w:val="16"/>
              </w:rPr>
              <w:t xml:space="preserve"> </w:t>
            </w:r>
            <w:r>
              <w:rPr>
                <w:sz w:val="16"/>
              </w:rPr>
              <w:t>una</w:t>
            </w:r>
            <w:r>
              <w:rPr>
                <w:spacing w:val="-6"/>
                <w:sz w:val="16"/>
              </w:rPr>
              <w:t xml:space="preserve"> </w:t>
            </w:r>
            <w:r>
              <w:rPr>
                <w:sz w:val="16"/>
              </w:rPr>
              <w:t>facturación</w:t>
            </w:r>
            <w:r>
              <w:rPr>
                <w:spacing w:val="-3"/>
                <w:sz w:val="16"/>
              </w:rPr>
              <w:t xml:space="preserve"> </w:t>
            </w:r>
            <w:r>
              <w:rPr>
                <w:sz w:val="16"/>
              </w:rPr>
              <w:t>de 150</w:t>
            </w:r>
            <w:r>
              <w:rPr>
                <w:spacing w:val="-5"/>
                <w:sz w:val="16"/>
              </w:rPr>
              <w:t xml:space="preserve"> </w:t>
            </w:r>
            <w:r>
              <w:rPr>
                <w:sz w:val="16"/>
              </w:rPr>
              <w:t>millones</w:t>
            </w:r>
            <w:r>
              <w:rPr>
                <w:spacing w:val="-5"/>
                <w:sz w:val="16"/>
              </w:rPr>
              <w:t xml:space="preserve"> </w:t>
            </w:r>
            <w:r>
              <w:rPr>
                <w:sz w:val="16"/>
              </w:rPr>
              <w:t>€</w:t>
            </w:r>
            <w:r>
              <w:rPr>
                <w:spacing w:val="-5"/>
                <w:sz w:val="16"/>
              </w:rPr>
              <w:t xml:space="preserve"> </w:t>
            </w:r>
            <w:r>
              <w:rPr>
                <w:sz w:val="16"/>
              </w:rPr>
              <w:t>en</w:t>
            </w:r>
            <w:r>
              <w:rPr>
                <w:spacing w:val="-4"/>
                <w:sz w:val="16"/>
              </w:rPr>
              <w:t xml:space="preserve"> </w:t>
            </w:r>
            <w:r>
              <w:rPr>
                <w:sz w:val="16"/>
              </w:rPr>
              <w:t>la</w:t>
            </w:r>
            <w:r>
              <w:rPr>
                <w:spacing w:val="-5"/>
                <w:sz w:val="16"/>
              </w:rPr>
              <w:t xml:space="preserve"> UE</w:t>
            </w:r>
          </w:p>
          <w:p w14:paraId="6FDA63C2" w14:textId="77777777" w:rsidR="006D28A6" w:rsidRDefault="00A90500">
            <w:pPr>
              <w:pStyle w:val="TableParagraph"/>
              <w:spacing w:before="3"/>
              <w:ind w:left="20" w:right="4"/>
              <w:jc w:val="center"/>
              <w:rPr>
                <w:sz w:val="16"/>
              </w:rPr>
            </w:pPr>
            <w:r>
              <w:rPr>
                <w:spacing w:val="-4"/>
                <w:w w:val="105"/>
                <w:sz w:val="16"/>
              </w:rPr>
              <w:t>y</w:t>
            </w:r>
            <w:r>
              <w:rPr>
                <w:spacing w:val="-2"/>
                <w:w w:val="105"/>
                <w:sz w:val="16"/>
              </w:rPr>
              <w:t xml:space="preserve"> </w:t>
            </w:r>
            <w:r>
              <w:rPr>
                <w:spacing w:val="-4"/>
                <w:w w:val="105"/>
                <w:sz w:val="16"/>
              </w:rPr>
              <w:t>tengan</w:t>
            </w:r>
            <w:r>
              <w:rPr>
                <w:spacing w:val="-2"/>
                <w:sz w:val="16"/>
              </w:rPr>
              <w:t xml:space="preserve"> </w:t>
            </w:r>
            <w:r>
              <w:rPr>
                <w:spacing w:val="-4"/>
                <w:w w:val="105"/>
                <w:sz w:val="16"/>
              </w:rPr>
              <w:t>una</w:t>
            </w:r>
            <w:r>
              <w:rPr>
                <w:spacing w:val="-7"/>
                <w:w w:val="105"/>
                <w:sz w:val="16"/>
              </w:rPr>
              <w:t xml:space="preserve"> </w:t>
            </w:r>
            <w:r>
              <w:rPr>
                <w:spacing w:val="-4"/>
                <w:w w:val="105"/>
                <w:sz w:val="16"/>
              </w:rPr>
              <w:t>filial</w:t>
            </w:r>
            <w:r>
              <w:rPr>
                <w:spacing w:val="-5"/>
                <w:w w:val="105"/>
                <w:sz w:val="16"/>
              </w:rPr>
              <w:t xml:space="preserve"> </w:t>
            </w:r>
            <w:r>
              <w:rPr>
                <w:spacing w:val="-4"/>
                <w:w w:val="105"/>
                <w:sz w:val="16"/>
              </w:rPr>
              <w:t>o</w:t>
            </w:r>
            <w:r>
              <w:rPr>
                <w:w w:val="105"/>
                <w:sz w:val="16"/>
              </w:rPr>
              <w:t xml:space="preserve"> </w:t>
            </w:r>
            <w:r>
              <w:rPr>
                <w:spacing w:val="-4"/>
                <w:w w:val="105"/>
                <w:sz w:val="16"/>
              </w:rPr>
              <w:t>sucursal</w:t>
            </w:r>
            <w:r>
              <w:rPr>
                <w:spacing w:val="-5"/>
                <w:w w:val="105"/>
                <w:sz w:val="16"/>
              </w:rPr>
              <w:t xml:space="preserve"> </w:t>
            </w:r>
            <w:r>
              <w:rPr>
                <w:spacing w:val="-4"/>
                <w:w w:val="105"/>
                <w:sz w:val="16"/>
              </w:rPr>
              <w:t>en</w:t>
            </w:r>
            <w:r>
              <w:rPr>
                <w:spacing w:val="-1"/>
                <w:w w:val="105"/>
                <w:sz w:val="16"/>
              </w:rPr>
              <w:t xml:space="preserve"> </w:t>
            </w:r>
            <w:r>
              <w:rPr>
                <w:spacing w:val="-4"/>
                <w:w w:val="105"/>
                <w:sz w:val="16"/>
              </w:rPr>
              <w:t>la</w:t>
            </w:r>
            <w:r>
              <w:rPr>
                <w:spacing w:val="-6"/>
                <w:w w:val="105"/>
                <w:sz w:val="16"/>
              </w:rPr>
              <w:t xml:space="preserve"> </w:t>
            </w:r>
            <w:r>
              <w:rPr>
                <w:spacing w:val="-4"/>
                <w:w w:val="105"/>
                <w:sz w:val="16"/>
              </w:rPr>
              <w:t>UE</w:t>
            </w:r>
            <w:r>
              <w:rPr>
                <w:spacing w:val="-6"/>
                <w:w w:val="105"/>
                <w:sz w:val="16"/>
              </w:rPr>
              <w:t xml:space="preserve"> </w:t>
            </w:r>
            <w:r>
              <w:rPr>
                <w:spacing w:val="-4"/>
                <w:w w:val="105"/>
                <w:sz w:val="16"/>
              </w:rPr>
              <w:t>que</w:t>
            </w:r>
            <w:r>
              <w:rPr>
                <w:spacing w:val="-1"/>
                <w:w w:val="105"/>
                <w:sz w:val="16"/>
              </w:rPr>
              <w:t xml:space="preserve"> </w:t>
            </w:r>
            <w:r>
              <w:rPr>
                <w:spacing w:val="-4"/>
                <w:w w:val="105"/>
                <w:sz w:val="16"/>
              </w:rPr>
              <w:t>supere</w:t>
            </w:r>
            <w:r>
              <w:rPr>
                <w:spacing w:val="-2"/>
                <w:w w:val="105"/>
                <w:sz w:val="16"/>
              </w:rPr>
              <w:t xml:space="preserve"> </w:t>
            </w:r>
            <w:r>
              <w:rPr>
                <w:spacing w:val="-4"/>
                <w:w w:val="105"/>
                <w:sz w:val="16"/>
              </w:rPr>
              <w:t>determinados</w:t>
            </w:r>
            <w:r>
              <w:rPr>
                <w:spacing w:val="-5"/>
                <w:w w:val="105"/>
                <w:sz w:val="16"/>
              </w:rPr>
              <w:t xml:space="preserve"> </w:t>
            </w:r>
            <w:r>
              <w:rPr>
                <w:spacing w:val="-4"/>
                <w:w w:val="105"/>
                <w:sz w:val="16"/>
              </w:rPr>
              <w:t>umbrales</w:t>
            </w:r>
          </w:p>
        </w:tc>
      </w:tr>
    </w:tbl>
    <w:p w14:paraId="20C45FE4" w14:textId="77777777" w:rsidR="006D28A6" w:rsidRDefault="006D28A6">
      <w:pPr>
        <w:pStyle w:val="TableParagraph"/>
        <w:jc w:val="center"/>
        <w:rPr>
          <w:sz w:val="16"/>
        </w:rPr>
        <w:sectPr w:rsidR="006D28A6">
          <w:footerReference w:type="default" r:id="rId10"/>
          <w:type w:val="continuous"/>
          <w:pgSz w:w="11910" w:h="16840"/>
          <w:pgMar w:top="1620" w:right="708" w:bottom="1040" w:left="1700" w:header="0" w:footer="843" w:gutter="0"/>
          <w:pgNumType w:start="1"/>
          <w:cols w:space="720"/>
        </w:sectPr>
      </w:pPr>
    </w:p>
    <w:p w14:paraId="289F74B6" w14:textId="77777777" w:rsidR="006D28A6" w:rsidRDefault="00A90500">
      <w:pPr>
        <w:pStyle w:val="Textoindependiente"/>
        <w:spacing w:before="73"/>
        <w:ind w:left="851" w:right="136"/>
      </w:pPr>
      <w:r>
        <w:lastRenderedPageBreak/>
        <w:t>El contenido</w:t>
      </w:r>
      <w:r>
        <w:rPr>
          <w:spacing w:val="-1"/>
        </w:rPr>
        <w:t xml:space="preserve"> </w:t>
      </w:r>
      <w:r>
        <w:t>de</w:t>
      </w:r>
      <w:r>
        <w:rPr>
          <w:spacing w:val="-1"/>
        </w:rPr>
        <w:t xml:space="preserve"> </w:t>
      </w:r>
      <w:r>
        <w:t>esta información deberá tomar como referencia las “normas europeas de información de sostenibilidad” (NEIS o ESRS, por sus siglas en inglés, que son los estándares de sostenibilidad elaborados por el organismo europeo EFRAG y posteriormente adoptados mediante Reglamento delegado por la Comisión Europea), presentarse en una sección específica del informe de gestión, publicarse en formato electrónico y ser verificada por un proveedor de servicios de aseguramiento independiente, bajo la supervisión de una autoridad pública.</w:t>
      </w:r>
    </w:p>
    <w:p w14:paraId="084D3D84" w14:textId="77777777" w:rsidR="006D28A6" w:rsidRDefault="006D28A6">
      <w:pPr>
        <w:pStyle w:val="Textoindependiente"/>
        <w:jc w:val="left"/>
      </w:pPr>
    </w:p>
    <w:p w14:paraId="163DAACD" w14:textId="3C234DA9" w:rsidR="006D28A6" w:rsidRDefault="00A90500">
      <w:pPr>
        <w:pStyle w:val="Textoindependiente"/>
        <w:ind w:left="851" w:right="137"/>
      </w:pPr>
      <w:r>
        <w:t xml:space="preserve">En España, ante la eventualidad de que el proceso legislativo para la transposición de la CSRD no estuviera finalizado antes de 31 de diciembre de 2024, como finalmente sucedió, la Comisión Nacional del Mercado de Valores (CNMV) y el Instituto de Contabilidad y Auditoría de Cuentas (ICAC) emitieron un </w:t>
      </w:r>
      <w:hyperlink r:id="rId11">
        <w:r w:rsidR="006D28A6">
          <w:rPr>
            <w:color w:val="0462C1"/>
            <w:u w:val="single" w:color="0462C1"/>
          </w:rPr>
          <w:t>comunicado conjunto</w:t>
        </w:r>
      </w:hyperlink>
      <w:r w:rsidR="004F1079">
        <w:rPr>
          <w:color w:val="0462C1"/>
        </w:rPr>
        <w:t xml:space="preserve">, </w:t>
      </w:r>
      <w:r>
        <w:t>con fecha 27 de noviembre de 2024, que sirvi</w:t>
      </w:r>
      <w:r w:rsidR="00612DD8">
        <w:t>ó</w:t>
      </w:r>
      <w:r>
        <w:t xml:space="preserve"> de guía a las entidades sujetas y sus </w:t>
      </w:r>
      <w:r>
        <w:rPr>
          <w:spacing w:val="-2"/>
        </w:rPr>
        <w:t>verificadores.</w:t>
      </w:r>
    </w:p>
    <w:p w14:paraId="56CE36A4" w14:textId="77777777" w:rsidR="006D28A6" w:rsidRDefault="006D28A6">
      <w:pPr>
        <w:pStyle w:val="Textoindependiente"/>
        <w:jc w:val="left"/>
      </w:pPr>
    </w:p>
    <w:p w14:paraId="401305F3" w14:textId="25F98238" w:rsidR="006D28A6" w:rsidRDefault="00A90500">
      <w:pPr>
        <w:pStyle w:val="Textoindependiente"/>
        <w:ind w:left="851" w:right="140"/>
      </w:pPr>
      <w:r>
        <w:t>De acuerdo con dicho comunicado, se consideró recomendable que, a partir de 1 de enero</w:t>
      </w:r>
      <w:r>
        <w:rPr>
          <w:spacing w:val="-15"/>
        </w:rPr>
        <w:t xml:space="preserve"> </w:t>
      </w:r>
      <w:r>
        <w:t>de</w:t>
      </w:r>
      <w:r>
        <w:rPr>
          <w:spacing w:val="-15"/>
        </w:rPr>
        <w:t xml:space="preserve"> </w:t>
      </w:r>
      <w:r>
        <w:t>2025,</w:t>
      </w:r>
      <w:r>
        <w:rPr>
          <w:spacing w:val="-15"/>
        </w:rPr>
        <w:t xml:space="preserve"> </w:t>
      </w:r>
      <w:r>
        <w:t>las</w:t>
      </w:r>
      <w:r>
        <w:rPr>
          <w:spacing w:val="-15"/>
        </w:rPr>
        <w:t xml:space="preserve"> </w:t>
      </w:r>
      <w:r>
        <w:t>entidades</w:t>
      </w:r>
      <w:r>
        <w:rPr>
          <w:spacing w:val="-14"/>
        </w:rPr>
        <w:t xml:space="preserve"> </w:t>
      </w:r>
      <w:r>
        <w:t>españolas</w:t>
      </w:r>
      <w:r w:rsidR="00086E32">
        <w:t>,</w:t>
      </w:r>
      <w:r>
        <w:rPr>
          <w:spacing w:val="-15"/>
        </w:rPr>
        <w:t xml:space="preserve"> </w:t>
      </w:r>
      <w:r>
        <w:t>obligadas</w:t>
      </w:r>
      <w:r>
        <w:rPr>
          <w:spacing w:val="-15"/>
        </w:rPr>
        <w:t xml:space="preserve"> </w:t>
      </w:r>
      <w:r>
        <w:t>según</w:t>
      </w:r>
      <w:r>
        <w:rPr>
          <w:spacing w:val="-13"/>
        </w:rPr>
        <w:t xml:space="preserve"> </w:t>
      </w:r>
      <w:r>
        <w:t>la</w:t>
      </w:r>
      <w:r>
        <w:rPr>
          <w:spacing w:val="-15"/>
        </w:rPr>
        <w:t xml:space="preserve"> </w:t>
      </w:r>
      <w:r>
        <w:t>CSRD</w:t>
      </w:r>
      <w:r>
        <w:rPr>
          <w:spacing w:val="-15"/>
        </w:rPr>
        <w:t xml:space="preserve"> </w:t>
      </w:r>
      <w:r>
        <w:t>a</w:t>
      </w:r>
      <w:r>
        <w:rPr>
          <w:spacing w:val="-15"/>
        </w:rPr>
        <w:t xml:space="preserve"> </w:t>
      </w:r>
      <w:r>
        <w:t>publicar</w:t>
      </w:r>
      <w:r>
        <w:rPr>
          <w:spacing w:val="-15"/>
        </w:rPr>
        <w:t xml:space="preserve"> </w:t>
      </w:r>
      <w:r>
        <w:t>información de sostenibilidad</w:t>
      </w:r>
      <w:r w:rsidR="000E4E3D">
        <w:t>,</w:t>
      </w:r>
      <w:r>
        <w:t xml:space="preserve"> publicaran el EINF considerando el</w:t>
      </w:r>
      <w:r>
        <w:rPr>
          <w:spacing w:val="-1"/>
        </w:rPr>
        <w:t xml:space="preserve"> </w:t>
      </w:r>
      <w:r>
        <w:t>marco de las ESRS,</w:t>
      </w:r>
      <w:r>
        <w:rPr>
          <w:spacing w:val="-3"/>
        </w:rPr>
        <w:t xml:space="preserve"> </w:t>
      </w:r>
      <w:r>
        <w:t>siempre que no dejaran de cumplir ningún requerimiento relevante de la Ley 11/2018.</w:t>
      </w:r>
    </w:p>
    <w:p w14:paraId="34D802FC" w14:textId="77777777" w:rsidR="006D28A6" w:rsidRDefault="00A90500">
      <w:pPr>
        <w:spacing w:before="276"/>
        <w:ind w:left="851"/>
        <w:jc w:val="both"/>
        <w:rPr>
          <w:rFonts w:ascii="Myriad Pro Light"/>
          <w:b/>
        </w:rPr>
      </w:pPr>
      <w:r>
        <w:rPr>
          <w:rFonts w:ascii="Myriad Pro Light"/>
          <w:b/>
          <w:color w:val="AC2044"/>
        </w:rPr>
        <w:t>Contexto</w:t>
      </w:r>
      <w:r>
        <w:rPr>
          <w:rFonts w:ascii="Myriad Pro Light"/>
          <w:b/>
          <w:color w:val="AC2044"/>
          <w:spacing w:val="53"/>
        </w:rPr>
        <w:t xml:space="preserve"> </w:t>
      </w:r>
      <w:r>
        <w:rPr>
          <w:rFonts w:ascii="Myriad Pro Light"/>
          <w:b/>
          <w:color w:val="AC2044"/>
          <w:spacing w:val="-2"/>
        </w:rPr>
        <w:t>actual</w:t>
      </w:r>
    </w:p>
    <w:p w14:paraId="5DF750DE" w14:textId="77777777" w:rsidR="006D28A6" w:rsidRDefault="006D28A6">
      <w:pPr>
        <w:pStyle w:val="Textoindependiente"/>
        <w:spacing w:before="12"/>
        <w:jc w:val="left"/>
        <w:rPr>
          <w:rFonts w:ascii="Myriad Pro Light"/>
          <w:b/>
          <w:sz w:val="22"/>
        </w:rPr>
      </w:pPr>
    </w:p>
    <w:p w14:paraId="73E62DE3" w14:textId="16DC08F8" w:rsidR="006D28A6" w:rsidRDefault="00A90500">
      <w:pPr>
        <w:pStyle w:val="Textoindependiente"/>
        <w:ind w:left="851" w:right="141"/>
      </w:pPr>
      <w:r>
        <w:t xml:space="preserve">A la fecha de este nuevo comunicado, </w:t>
      </w:r>
      <w:r w:rsidR="00DF77FD">
        <w:t xml:space="preserve">el proyecto de ley que traspone </w:t>
      </w:r>
      <w:r>
        <w:t xml:space="preserve">la CSRD </w:t>
      </w:r>
      <w:r w:rsidR="00DF77FD">
        <w:t>en España está</w:t>
      </w:r>
      <w:r>
        <w:t xml:space="preserve"> pendiente de</w:t>
      </w:r>
      <w:r w:rsidR="00686813">
        <w:t xml:space="preserve"> superar la tramitación parlamentaria.</w:t>
      </w:r>
      <w:r>
        <w:t xml:space="preserve"> </w:t>
      </w:r>
      <w:r w:rsidR="00686813">
        <w:t xml:space="preserve">Adicionalmente, </w:t>
      </w:r>
      <w:r>
        <w:t>cabe destacar que, con fecha 26 de febrero de 2025, la Comisión Europea adoptó un paquete de propuestas denominado “ómnibus” con el fin de simplificar y reducir la carga administrativa sobre las empresas y fomentar el crecimiento y la inversión, haciendo una propuesta de contenido actualmente en evaluación por el Parlamento</w:t>
      </w:r>
      <w:r>
        <w:rPr>
          <w:spacing w:val="-15"/>
        </w:rPr>
        <w:t xml:space="preserve"> </w:t>
      </w:r>
      <w:r>
        <w:t>y</w:t>
      </w:r>
      <w:r>
        <w:rPr>
          <w:spacing w:val="-15"/>
        </w:rPr>
        <w:t xml:space="preserve"> </w:t>
      </w:r>
      <w:r>
        <w:t>el</w:t>
      </w:r>
      <w:r>
        <w:rPr>
          <w:spacing w:val="-15"/>
        </w:rPr>
        <w:t xml:space="preserve"> </w:t>
      </w:r>
      <w:r>
        <w:t>Consejo.</w:t>
      </w:r>
      <w:r>
        <w:rPr>
          <w:spacing w:val="-15"/>
        </w:rPr>
        <w:t xml:space="preserve"> </w:t>
      </w:r>
      <w:r>
        <w:t>El</w:t>
      </w:r>
      <w:r>
        <w:rPr>
          <w:spacing w:val="-15"/>
        </w:rPr>
        <w:t xml:space="preserve"> </w:t>
      </w:r>
      <w:r>
        <w:t>paquete,</w:t>
      </w:r>
      <w:r>
        <w:rPr>
          <w:spacing w:val="-15"/>
        </w:rPr>
        <w:t xml:space="preserve"> </w:t>
      </w:r>
      <w:r>
        <w:t>aún</w:t>
      </w:r>
      <w:r>
        <w:rPr>
          <w:spacing w:val="-15"/>
        </w:rPr>
        <w:t xml:space="preserve"> </w:t>
      </w:r>
      <w:r>
        <w:t>en</w:t>
      </w:r>
      <w:r>
        <w:rPr>
          <w:spacing w:val="-15"/>
        </w:rPr>
        <w:t xml:space="preserve"> </w:t>
      </w:r>
      <w:r>
        <w:t>discusión,</w:t>
      </w:r>
      <w:r>
        <w:rPr>
          <w:spacing w:val="-15"/>
        </w:rPr>
        <w:t xml:space="preserve"> </w:t>
      </w:r>
      <w:r>
        <w:t>incluye</w:t>
      </w:r>
      <w:r>
        <w:rPr>
          <w:spacing w:val="-15"/>
        </w:rPr>
        <w:t xml:space="preserve"> </w:t>
      </w:r>
      <w:r>
        <w:t>entre</w:t>
      </w:r>
      <w:r>
        <w:rPr>
          <w:spacing w:val="-15"/>
        </w:rPr>
        <w:t xml:space="preserve"> </w:t>
      </w:r>
      <w:r>
        <w:t>otras</w:t>
      </w:r>
      <w:r>
        <w:rPr>
          <w:spacing w:val="-14"/>
        </w:rPr>
        <w:t xml:space="preserve"> </w:t>
      </w:r>
      <w:r>
        <w:t>las</w:t>
      </w:r>
      <w:r>
        <w:rPr>
          <w:spacing w:val="-15"/>
        </w:rPr>
        <w:t xml:space="preserve"> </w:t>
      </w:r>
      <w:r>
        <w:t xml:space="preserve">siguientes </w:t>
      </w:r>
      <w:r>
        <w:rPr>
          <w:spacing w:val="-2"/>
        </w:rPr>
        <w:t>medidas:</w:t>
      </w:r>
    </w:p>
    <w:p w14:paraId="607B441D" w14:textId="77777777" w:rsidR="006D28A6" w:rsidRDefault="006D28A6">
      <w:pPr>
        <w:pStyle w:val="Textoindependiente"/>
        <w:spacing w:before="1"/>
        <w:jc w:val="left"/>
      </w:pPr>
    </w:p>
    <w:p w14:paraId="73F1070A" w14:textId="77777777" w:rsidR="006D28A6" w:rsidRDefault="00A90500">
      <w:pPr>
        <w:pStyle w:val="Prrafodelista"/>
        <w:numPr>
          <w:ilvl w:val="0"/>
          <w:numId w:val="2"/>
        </w:numPr>
        <w:tabs>
          <w:tab w:val="left" w:pos="1562"/>
          <w:tab w:val="left" w:pos="1564"/>
        </w:tabs>
        <w:ind w:right="141"/>
        <w:rPr>
          <w:sz w:val="24"/>
        </w:rPr>
      </w:pPr>
      <w:r>
        <w:rPr>
          <w:sz w:val="24"/>
        </w:rPr>
        <w:t>Reducir el ámbito de aplicación de la CSRD, centrándose en las grandes empresas con más de 1.000 empleados. En caso de aprobarse esta medida afectaría a parte de las empresas de la “Fase 1”.</w:t>
      </w:r>
    </w:p>
    <w:p w14:paraId="00A80A2A" w14:textId="77777777" w:rsidR="006D28A6" w:rsidRDefault="00A90500">
      <w:pPr>
        <w:pStyle w:val="Prrafodelista"/>
        <w:numPr>
          <w:ilvl w:val="0"/>
          <w:numId w:val="2"/>
        </w:numPr>
        <w:tabs>
          <w:tab w:val="left" w:pos="1562"/>
          <w:tab w:val="left" w:pos="1564"/>
        </w:tabs>
        <w:spacing w:before="1"/>
        <w:ind w:right="144"/>
        <w:rPr>
          <w:sz w:val="24"/>
        </w:rPr>
      </w:pPr>
      <w:r>
        <w:rPr>
          <w:sz w:val="24"/>
        </w:rPr>
        <w:t>Eliminar: (i) las normas sectoriales específicas; y (</w:t>
      </w:r>
      <w:proofErr w:type="spellStart"/>
      <w:r>
        <w:rPr>
          <w:sz w:val="24"/>
        </w:rPr>
        <w:t>ii</w:t>
      </w:r>
      <w:proofErr w:type="spellEnd"/>
      <w:r>
        <w:rPr>
          <w:sz w:val="24"/>
        </w:rPr>
        <w:t>) la posibilidad de pasar a un requisito de verificación razonable.</w:t>
      </w:r>
    </w:p>
    <w:p w14:paraId="499AA6BA" w14:textId="120F513C" w:rsidR="006D28A6" w:rsidRDefault="00A90500">
      <w:pPr>
        <w:pStyle w:val="Prrafodelista"/>
        <w:numPr>
          <w:ilvl w:val="0"/>
          <w:numId w:val="2"/>
        </w:numPr>
        <w:tabs>
          <w:tab w:val="left" w:pos="1562"/>
          <w:tab w:val="left" w:pos="1564"/>
        </w:tabs>
        <w:rPr>
          <w:sz w:val="24"/>
        </w:rPr>
      </w:pPr>
      <w:r>
        <w:rPr>
          <w:sz w:val="24"/>
        </w:rPr>
        <w:t>La</w:t>
      </w:r>
      <w:r>
        <w:rPr>
          <w:spacing w:val="-7"/>
          <w:sz w:val="24"/>
        </w:rPr>
        <w:t xml:space="preserve"> </w:t>
      </w:r>
      <w:r>
        <w:rPr>
          <w:sz w:val="24"/>
        </w:rPr>
        <w:t>adopción</w:t>
      </w:r>
      <w:r>
        <w:rPr>
          <w:spacing w:val="-7"/>
          <w:sz w:val="24"/>
        </w:rPr>
        <w:t xml:space="preserve"> </w:t>
      </w:r>
      <w:r>
        <w:rPr>
          <w:sz w:val="24"/>
        </w:rPr>
        <w:t>de</w:t>
      </w:r>
      <w:r>
        <w:rPr>
          <w:spacing w:val="-5"/>
          <w:sz w:val="24"/>
        </w:rPr>
        <w:t xml:space="preserve"> </w:t>
      </w:r>
      <w:r>
        <w:rPr>
          <w:sz w:val="24"/>
        </w:rPr>
        <w:t>una</w:t>
      </w:r>
      <w:r>
        <w:rPr>
          <w:spacing w:val="-7"/>
          <w:sz w:val="24"/>
        </w:rPr>
        <w:t xml:space="preserve"> </w:t>
      </w:r>
      <w:r>
        <w:rPr>
          <w:sz w:val="24"/>
        </w:rPr>
        <w:t>norma</w:t>
      </w:r>
      <w:r>
        <w:rPr>
          <w:spacing w:val="-7"/>
          <w:sz w:val="24"/>
        </w:rPr>
        <w:t xml:space="preserve"> </w:t>
      </w:r>
      <w:r>
        <w:rPr>
          <w:sz w:val="24"/>
        </w:rPr>
        <w:t>de</w:t>
      </w:r>
      <w:r>
        <w:rPr>
          <w:spacing w:val="-6"/>
          <w:sz w:val="24"/>
        </w:rPr>
        <w:t xml:space="preserve"> </w:t>
      </w:r>
      <w:r>
        <w:rPr>
          <w:sz w:val="24"/>
        </w:rPr>
        <w:t>reporte</w:t>
      </w:r>
      <w:r>
        <w:rPr>
          <w:spacing w:val="-7"/>
          <w:sz w:val="24"/>
        </w:rPr>
        <w:t xml:space="preserve"> </w:t>
      </w:r>
      <w:r>
        <w:rPr>
          <w:sz w:val="24"/>
        </w:rPr>
        <w:t>voluntario</w:t>
      </w:r>
      <w:r>
        <w:rPr>
          <w:spacing w:val="-8"/>
          <w:sz w:val="24"/>
        </w:rPr>
        <w:t xml:space="preserve"> </w:t>
      </w:r>
      <w:r>
        <w:rPr>
          <w:sz w:val="24"/>
        </w:rPr>
        <w:t>para</w:t>
      </w:r>
      <w:r>
        <w:rPr>
          <w:spacing w:val="-7"/>
          <w:sz w:val="24"/>
        </w:rPr>
        <w:t xml:space="preserve"> </w:t>
      </w:r>
      <w:r>
        <w:rPr>
          <w:sz w:val="24"/>
        </w:rPr>
        <w:t>las</w:t>
      </w:r>
      <w:r>
        <w:rPr>
          <w:spacing w:val="-6"/>
          <w:sz w:val="24"/>
        </w:rPr>
        <w:t xml:space="preserve"> </w:t>
      </w:r>
      <w:r>
        <w:rPr>
          <w:sz w:val="24"/>
        </w:rPr>
        <w:t>empresas</w:t>
      </w:r>
      <w:r>
        <w:rPr>
          <w:spacing w:val="-3"/>
          <w:sz w:val="24"/>
        </w:rPr>
        <w:t xml:space="preserve"> </w:t>
      </w:r>
      <w:r>
        <w:rPr>
          <w:sz w:val="24"/>
        </w:rPr>
        <w:t>que</w:t>
      </w:r>
      <w:r>
        <w:rPr>
          <w:spacing w:val="-6"/>
          <w:sz w:val="24"/>
        </w:rPr>
        <w:t xml:space="preserve"> </w:t>
      </w:r>
      <w:r>
        <w:rPr>
          <w:sz w:val="24"/>
        </w:rPr>
        <w:t xml:space="preserve">queden fuera del ámbito de la CSRD, basada en el estándar voluntario para pymes (“VSME”) desarrollado por EFRAG. La Comisión </w:t>
      </w:r>
      <w:r w:rsidR="00807448">
        <w:rPr>
          <w:sz w:val="24"/>
        </w:rPr>
        <w:t xml:space="preserve">Europea </w:t>
      </w:r>
      <w:r>
        <w:rPr>
          <w:sz w:val="24"/>
        </w:rPr>
        <w:t>emitió el 30 de julio de 2025 una</w:t>
      </w:r>
      <w:r>
        <w:rPr>
          <w:spacing w:val="-5"/>
          <w:sz w:val="24"/>
        </w:rPr>
        <w:t xml:space="preserve"> </w:t>
      </w:r>
      <w:r>
        <w:rPr>
          <w:sz w:val="24"/>
        </w:rPr>
        <w:t>recomendación que</w:t>
      </w:r>
      <w:r>
        <w:rPr>
          <w:spacing w:val="-5"/>
          <w:sz w:val="24"/>
        </w:rPr>
        <w:t xml:space="preserve"> </w:t>
      </w:r>
      <w:r>
        <w:rPr>
          <w:sz w:val="24"/>
        </w:rPr>
        <w:t>respalda</w:t>
      </w:r>
      <w:r>
        <w:rPr>
          <w:spacing w:val="-5"/>
          <w:sz w:val="24"/>
        </w:rPr>
        <w:t xml:space="preserve"> </w:t>
      </w:r>
      <w:r>
        <w:rPr>
          <w:sz w:val="24"/>
        </w:rPr>
        <w:t>dicho</w:t>
      </w:r>
      <w:r>
        <w:rPr>
          <w:spacing w:val="-1"/>
          <w:sz w:val="24"/>
        </w:rPr>
        <w:t xml:space="preserve"> </w:t>
      </w:r>
      <w:r>
        <w:rPr>
          <w:sz w:val="24"/>
        </w:rPr>
        <w:t>estándar</w:t>
      </w:r>
      <w:r>
        <w:rPr>
          <w:spacing w:val="-2"/>
          <w:sz w:val="24"/>
        </w:rPr>
        <w:t xml:space="preserve"> </w:t>
      </w:r>
      <w:r>
        <w:rPr>
          <w:sz w:val="24"/>
        </w:rPr>
        <w:t>y</w:t>
      </w:r>
      <w:r>
        <w:rPr>
          <w:spacing w:val="-4"/>
          <w:sz w:val="24"/>
        </w:rPr>
        <w:t xml:space="preserve"> </w:t>
      </w:r>
      <w:r>
        <w:rPr>
          <w:sz w:val="24"/>
        </w:rPr>
        <w:t>se</w:t>
      </w:r>
      <w:r>
        <w:rPr>
          <w:spacing w:val="-3"/>
          <w:sz w:val="24"/>
        </w:rPr>
        <w:t xml:space="preserve"> </w:t>
      </w:r>
      <w:r>
        <w:rPr>
          <w:sz w:val="24"/>
        </w:rPr>
        <w:t>están</w:t>
      </w:r>
      <w:r>
        <w:rPr>
          <w:spacing w:val="-3"/>
          <w:sz w:val="24"/>
        </w:rPr>
        <w:t xml:space="preserve"> </w:t>
      </w:r>
      <w:r>
        <w:rPr>
          <w:sz w:val="24"/>
        </w:rPr>
        <w:t>desarrollando</w:t>
      </w:r>
      <w:r>
        <w:rPr>
          <w:spacing w:val="-6"/>
          <w:sz w:val="24"/>
        </w:rPr>
        <w:t xml:space="preserve"> </w:t>
      </w:r>
      <w:r>
        <w:rPr>
          <w:sz w:val="24"/>
        </w:rPr>
        <w:t>guías prácticas al respecto.</w:t>
      </w:r>
    </w:p>
    <w:p w14:paraId="4CFB13A0" w14:textId="77777777" w:rsidR="006D28A6" w:rsidRDefault="00A90500">
      <w:pPr>
        <w:pStyle w:val="Prrafodelista"/>
        <w:numPr>
          <w:ilvl w:val="0"/>
          <w:numId w:val="2"/>
        </w:numPr>
        <w:tabs>
          <w:tab w:val="left" w:pos="1562"/>
          <w:tab w:val="left" w:pos="1564"/>
        </w:tabs>
        <w:spacing w:before="1"/>
        <w:ind w:right="141"/>
        <w:rPr>
          <w:sz w:val="24"/>
        </w:rPr>
      </w:pPr>
      <w:r>
        <w:rPr>
          <w:sz w:val="24"/>
        </w:rPr>
        <w:t>Revisión de las ESRS: La CE se ha comprometido a adoptar un acto delegado, que revise y simplifique el primer conjunto de normas ESRS, con el fin de: (i) reducir</w:t>
      </w:r>
      <w:r>
        <w:rPr>
          <w:spacing w:val="-15"/>
          <w:sz w:val="24"/>
        </w:rPr>
        <w:t xml:space="preserve"> </w:t>
      </w:r>
      <w:r>
        <w:rPr>
          <w:sz w:val="24"/>
        </w:rPr>
        <w:t>sustancialmente</w:t>
      </w:r>
      <w:r>
        <w:rPr>
          <w:spacing w:val="-14"/>
          <w:sz w:val="24"/>
        </w:rPr>
        <w:t xml:space="preserve"> </w:t>
      </w:r>
      <w:r>
        <w:rPr>
          <w:sz w:val="24"/>
        </w:rPr>
        <w:t>el</w:t>
      </w:r>
      <w:r>
        <w:rPr>
          <w:spacing w:val="-14"/>
          <w:sz w:val="24"/>
        </w:rPr>
        <w:t xml:space="preserve"> </w:t>
      </w:r>
      <w:r>
        <w:rPr>
          <w:sz w:val="24"/>
        </w:rPr>
        <w:t>número</w:t>
      </w:r>
      <w:r>
        <w:rPr>
          <w:spacing w:val="-14"/>
          <w:sz w:val="24"/>
        </w:rPr>
        <w:t xml:space="preserve"> </w:t>
      </w:r>
      <w:r>
        <w:rPr>
          <w:sz w:val="24"/>
        </w:rPr>
        <w:t>de</w:t>
      </w:r>
      <w:r>
        <w:rPr>
          <w:spacing w:val="-14"/>
          <w:sz w:val="24"/>
        </w:rPr>
        <w:t xml:space="preserve"> </w:t>
      </w:r>
      <w:r>
        <w:rPr>
          <w:sz w:val="24"/>
        </w:rPr>
        <w:t>puntos</w:t>
      </w:r>
      <w:r>
        <w:rPr>
          <w:spacing w:val="-13"/>
          <w:sz w:val="24"/>
        </w:rPr>
        <w:t xml:space="preserve"> </w:t>
      </w:r>
      <w:r>
        <w:rPr>
          <w:sz w:val="24"/>
        </w:rPr>
        <w:t>de</w:t>
      </w:r>
      <w:r>
        <w:rPr>
          <w:spacing w:val="-14"/>
          <w:sz w:val="24"/>
        </w:rPr>
        <w:t xml:space="preserve"> </w:t>
      </w:r>
      <w:r>
        <w:rPr>
          <w:sz w:val="24"/>
        </w:rPr>
        <w:t>datos</w:t>
      </w:r>
      <w:r>
        <w:rPr>
          <w:spacing w:val="-13"/>
          <w:sz w:val="24"/>
        </w:rPr>
        <w:t xml:space="preserve"> </w:t>
      </w:r>
      <w:r>
        <w:rPr>
          <w:sz w:val="24"/>
        </w:rPr>
        <w:t>que</w:t>
      </w:r>
      <w:r>
        <w:rPr>
          <w:spacing w:val="-13"/>
          <w:sz w:val="24"/>
        </w:rPr>
        <w:t xml:space="preserve"> </w:t>
      </w:r>
      <w:r>
        <w:rPr>
          <w:sz w:val="24"/>
        </w:rPr>
        <w:t>deben</w:t>
      </w:r>
      <w:r>
        <w:rPr>
          <w:spacing w:val="-15"/>
          <w:sz w:val="24"/>
        </w:rPr>
        <w:t xml:space="preserve"> </w:t>
      </w:r>
      <w:r>
        <w:rPr>
          <w:sz w:val="24"/>
        </w:rPr>
        <w:t>reportarse,</w:t>
      </w:r>
      <w:r>
        <w:rPr>
          <w:spacing w:val="-15"/>
          <w:sz w:val="24"/>
        </w:rPr>
        <w:t xml:space="preserve"> </w:t>
      </w:r>
      <w:r>
        <w:rPr>
          <w:sz w:val="24"/>
        </w:rPr>
        <w:t>(</w:t>
      </w:r>
      <w:proofErr w:type="spellStart"/>
      <w:r>
        <w:rPr>
          <w:sz w:val="24"/>
        </w:rPr>
        <w:t>ii</w:t>
      </w:r>
      <w:proofErr w:type="spellEnd"/>
      <w:r>
        <w:rPr>
          <w:sz w:val="24"/>
        </w:rPr>
        <w:t>) simplificar la estructura y presentación de las normas, y (</w:t>
      </w:r>
      <w:proofErr w:type="spellStart"/>
      <w:r>
        <w:rPr>
          <w:sz w:val="24"/>
        </w:rPr>
        <w:t>iii</w:t>
      </w:r>
      <w:proofErr w:type="spellEnd"/>
      <w:r>
        <w:rPr>
          <w:sz w:val="24"/>
        </w:rPr>
        <w:t>) proporcionar instrucciones más claras sobre cómo aplicar el principio de materialidad.</w:t>
      </w:r>
    </w:p>
    <w:p w14:paraId="572CAF33" w14:textId="77777777" w:rsidR="006D28A6" w:rsidRDefault="006D28A6">
      <w:pPr>
        <w:pStyle w:val="Textoindependiente"/>
        <w:jc w:val="left"/>
      </w:pPr>
    </w:p>
    <w:p w14:paraId="684A1BB4" w14:textId="568E63D2" w:rsidR="006D28A6" w:rsidRDefault="00A90500">
      <w:pPr>
        <w:pStyle w:val="Textoindependiente"/>
        <w:ind w:left="851" w:right="137"/>
      </w:pPr>
      <w:r>
        <w:t>El</w:t>
      </w:r>
      <w:r>
        <w:rPr>
          <w:spacing w:val="-4"/>
        </w:rPr>
        <w:t xml:space="preserve"> </w:t>
      </w:r>
      <w:r>
        <w:t>objetivo</w:t>
      </w:r>
      <w:r>
        <w:rPr>
          <w:spacing w:val="-4"/>
        </w:rPr>
        <w:t xml:space="preserve"> </w:t>
      </w:r>
      <w:r>
        <w:t>es</w:t>
      </w:r>
      <w:r>
        <w:rPr>
          <w:spacing w:val="-4"/>
        </w:rPr>
        <w:t xml:space="preserve"> </w:t>
      </w:r>
      <w:r>
        <w:t>que</w:t>
      </w:r>
      <w:r>
        <w:rPr>
          <w:spacing w:val="-4"/>
        </w:rPr>
        <w:t xml:space="preserve"> </w:t>
      </w:r>
      <w:r>
        <w:t>la</w:t>
      </w:r>
      <w:r>
        <w:rPr>
          <w:spacing w:val="-3"/>
        </w:rPr>
        <w:t xml:space="preserve"> </w:t>
      </w:r>
      <w:r>
        <w:t>adopción</w:t>
      </w:r>
      <w:r>
        <w:rPr>
          <w:spacing w:val="-2"/>
        </w:rPr>
        <w:t xml:space="preserve"> </w:t>
      </w:r>
      <w:r>
        <w:t>del</w:t>
      </w:r>
      <w:r>
        <w:rPr>
          <w:spacing w:val="-4"/>
        </w:rPr>
        <w:t xml:space="preserve"> </w:t>
      </w:r>
      <w:r>
        <w:t>paquete</w:t>
      </w:r>
      <w:r>
        <w:rPr>
          <w:spacing w:val="-3"/>
        </w:rPr>
        <w:t xml:space="preserve"> </w:t>
      </w:r>
      <w:r>
        <w:t>ómnibus</w:t>
      </w:r>
      <w:r>
        <w:rPr>
          <w:spacing w:val="-3"/>
        </w:rPr>
        <w:t xml:space="preserve"> </w:t>
      </w:r>
      <w:r>
        <w:t>se</w:t>
      </w:r>
      <w:r>
        <w:rPr>
          <w:spacing w:val="-4"/>
        </w:rPr>
        <w:t xml:space="preserve"> </w:t>
      </w:r>
      <w:r>
        <w:t>complete</w:t>
      </w:r>
      <w:r>
        <w:rPr>
          <w:spacing w:val="-4"/>
        </w:rPr>
        <w:t xml:space="preserve"> </w:t>
      </w:r>
      <w:r>
        <w:t>antes</w:t>
      </w:r>
      <w:r>
        <w:rPr>
          <w:spacing w:val="-4"/>
        </w:rPr>
        <w:t xml:space="preserve"> </w:t>
      </w:r>
      <w:r w:rsidR="00742391">
        <w:t>de</w:t>
      </w:r>
      <w:r>
        <w:rPr>
          <w:spacing w:val="-2"/>
        </w:rPr>
        <w:t xml:space="preserve"> </w:t>
      </w:r>
      <w:r>
        <w:t>diciembre</w:t>
      </w:r>
      <w:r>
        <w:rPr>
          <w:spacing w:val="-4"/>
        </w:rPr>
        <w:t xml:space="preserve"> </w:t>
      </w:r>
      <w:r>
        <w:t>de 2025,</w:t>
      </w:r>
      <w:r>
        <w:rPr>
          <w:spacing w:val="-7"/>
        </w:rPr>
        <w:t xml:space="preserve"> </w:t>
      </w:r>
      <w:r>
        <w:t>siendo</w:t>
      </w:r>
      <w:r>
        <w:rPr>
          <w:spacing w:val="-5"/>
        </w:rPr>
        <w:t xml:space="preserve"> </w:t>
      </w:r>
      <w:r>
        <w:t>previsible</w:t>
      </w:r>
      <w:r>
        <w:rPr>
          <w:spacing w:val="-7"/>
        </w:rPr>
        <w:t xml:space="preserve"> </w:t>
      </w:r>
      <w:r>
        <w:t>que</w:t>
      </w:r>
      <w:r>
        <w:rPr>
          <w:spacing w:val="-5"/>
        </w:rPr>
        <w:t xml:space="preserve"> </w:t>
      </w:r>
      <w:r>
        <w:t>la</w:t>
      </w:r>
      <w:r>
        <w:rPr>
          <w:spacing w:val="-7"/>
        </w:rPr>
        <w:t xml:space="preserve"> </w:t>
      </w:r>
      <w:r>
        <w:t>revisión</w:t>
      </w:r>
      <w:r>
        <w:rPr>
          <w:spacing w:val="-6"/>
        </w:rPr>
        <w:t xml:space="preserve"> </w:t>
      </w:r>
      <w:r>
        <w:t>de</w:t>
      </w:r>
      <w:r>
        <w:rPr>
          <w:spacing w:val="-7"/>
        </w:rPr>
        <w:t xml:space="preserve"> </w:t>
      </w:r>
      <w:r>
        <w:t>las</w:t>
      </w:r>
      <w:r>
        <w:rPr>
          <w:spacing w:val="-5"/>
        </w:rPr>
        <w:t xml:space="preserve"> </w:t>
      </w:r>
      <w:r>
        <w:t>ESRS</w:t>
      </w:r>
      <w:r>
        <w:rPr>
          <w:spacing w:val="-6"/>
        </w:rPr>
        <w:t xml:space="preserve"> </w:t>
      </w:r>
      <w:r>
        <w:t>finalice</w:t>
      </w:r>
      <w:r>
        <w:rPr>
          <w:spacing w:val="-7"/>
        </w:rPr>
        <w:t xml:space="preserve"> </w:t>
      </w:r>
      <w:r>
        <w:t>para</w:t>
      </w:r>
      <w:r>
        <w:rPr>
          <w:spacing w:val="-7"/>
        </w:rPr>
        <w:t xml:space="preserve"> </w:t>
      </w:r>
      <w:r>
        <w:t>mediados</w:t>
      </w:r>
      <w:r>
        <w:rPr>
          <w:spacing w:val="-5"/>
        </w:rPr>
        <w:t xml:space="preserve"> </w:t>
      </w:r>
      <w:r>
        <w:t>de</w:t>
      </w:r>
      <w:r>
        <w:rPr>
          <w:spacing w:val="-5"/>
        </w:rPr>
        <w:t xml:space="preserve"> </w:t>
      </w:r>
      <w:r>
        <w:t>2026.</w:t>
      </w:r>
      <w:r>
        <w:rPr>
          <w:spacing w:val="-5"/>
        </w:rPr>
        <w:t xml:space="preserve"> </w:t>
      </w:r>
      <w:r>
        <w:t>No obstante,</w:t>
      </w:r>
      <w:r>
        <w:rPr>
          <w:spacing w:val="-15"/>
        </w:rPr>
        <w:t xml:space="preserve"> </w:t>
      </w:r>
      <w:r>
        <w:t>los</w:t>
      </w:r>
      <w:r>
        <w:rPr>
          <w:spacing w:val="-15"/>
        </w:rPr>
        <w:t xml:space="preserve"> </w:t>
      </w:r>
      <w:r>
        <w:t>procesos</w:t>
      </w:r>
      <w:r>
        <w:rPr>
          <w:spacing w:val="-15"/>
        </w:rPr>
        <w:t xml:space="preserve"> </w:t>
      </w:r>
      <w:r>
        <w:t>legislativos</w:t>
      </w:r>
      <w:r>
        <w:rPr>
          <w:spacing w:val="-15"/>
        </w:rPr>
        <w:t xml:space="preserve"> </w:t>
      </w:r>
      <w:r>
        <w:t>de</w:t>
      </w:r>
      <w:r>
        <w:rPr>
          <w:spacing w:val="-15"/>
        </w:rPr>
        <w:t xml:space="preserve"> </w:t>
      </w:r>
      <w:r>
        <w:t>la</w:t>
      </w:r>
      <w:r>
        <w:rPr>
          <w:spacing w:val="-15"/>
        </w:rPr>
        <w:t xml:space="preserve"> </w:t>
      </w:r>
      <w:r>
        <w:t>UE</w:t>
      </w:r>
      <w:r>
        <w:rPr>
          <w:spacing w:val="-14"/>
        </w:rPr>
        <w:t xml:space="preserve"> </w:t>
      </w:r>
      <w:r>
        <w:t>son</w:t>
      </w:r>
      <w:r>
        <w:rPr>
          <w:spacing w:val="-14"/>
        </w:rPr>
        <w:t xml:space="preserve"> </w:t>
      </w:r>
      <w:r>
        <w:t>complejos</w:t>
      </w:r>
      <w:r>
        <w:rPr>
          <w:spacing w:val="-15"/>
        </w:rPr>
        <w:t xml:space="preserve"> </w:t>
      </w:r>
      <w:r>
        <w:t>y,</w:t>
      </w:r>
      <w:r>
        <w:rPr>
          <w:spacing w:val="-15"/>
        </w:rPr>
        <w:t xml:space="preserve"> </w:t>
      </w:r>
      <w:r>
        <w:t>en</w:t>
      </w:r>
      <w:r>
        <w:rPr>
          <w:spacing w:val="-15"/>
        </w:rPr>
        <w:t xml:space="preserve"> </w:t>
      </w:r>
      <w:r>
        <w:t>ocasiones,</w:t>
      </w:r>
      <w:r>
        <w:rPr>
          <w:spacing w:val="-15"/>
        </w:rPr>
        <w:t xml:space="preserve"> </w:t>
      </w:r>
      <w:r>
        <w:t>pueden</w:t>
      </w:r>
      <w:r>
        <w:rPr>
          <w:spacing w:val="-15"/>
        </w:rPr>
        <w:t xml:space="preserve"> </w:t>
      </w:r>
      <w:r>
        <w:t>sufrir retrasos imprevistos.</w:t>
      </w:r>
    </w:p>
    <w:p w14:paraId="7E15C2F8" w14:textId="77777777" w:rsidR="006D28A6" w:rsidRDefault="006D28A6">
      <w:pPr>
        <w:pStyle w:val="Textoindependiente"/>
        <w:sectPr w:rsidR="006D28A6">
          <w:pgSz w:w="11910" w:h="16840"/>
          <w:pgMar w:top="900" w:right="708" w:bottom="1040" w:left="1700" w:header="0" w:footer="843" w:gutter="0"/>
          <w:cols w:space="720"/>
        </w:sectPr>
      </w:pPr>
    </w:p>
    <w:p w14:paraId="23E5AA98" w14:textId="77777777" w:rsidR="006D28A6" w:rsidRDefault="00A90500">
      <w:pPr>
        <w:pStyle w:val="Textoindependiente"/>
        <w:spacing w:before="73"/>
        <w:ind w:left="851"/>
      </w:pPr>
      <w:r>
        <w:lastRenderedPageBreak/>
        <w:t>Mientras</w:t>
      </w:r>
      <w:r>
        <w:rPr>
          <w:spacing w:val="-3"/>
        </w:rPr>
        <w:t xml:space="preserve"> </w:t>
      </w:r>
      <w:r>
        <w:t>tanto</w:t>
      </w:r>
      <w:r>
        <w:rPr>
          <w:spacing w:val="-2"/>
        </w:rPr>
        <w:t xml:space="preserve"> </w:t>
      </w:r>
      <w:r>
        <w:t>se</w:t>
      </w:r>
      <w:r>
        <w:rPr>
          <w:spacing w:val="-2"/>
        </w:rPr>
        <w:t xml:space="preserve"> </w:t>
      </w:r>
      <w:r>
        <w:t>han</w:t>
      </w:r>
      <w:r>
        <w:rPr>
          <w:spacing w:val="-2"/>
        </w:rPr>
        <w:t xml:space="preserve"> </w:t>
      </w:r>
      <w:r>
        <w:t>aprobado</w:t>
      </w:r>
      <w:r>
        <w:rPr>
          <w:spacing w:val="-2"/>
        </w:rPr>
        <w:t xml:space="preserve"> </w:t>
      </w:r>
      <w:r>
        <w:t>las</w:t>
      </w:r>
      <w:r>
        <w:rPr>
          <w:spacing w:val="-2"/>
        </w:rPr>
        <w:t xml:space="preserve"> </w:t>
      </w:r>
      <w:r>
        <w:t>siguientes</w:t>
      </w:r>
      <w:r>
        <w:rPr>
          <w:spacing w:val="-2"/>
        </w:rPr>
        <w:t xml:space="preserve"> </w:t>
      </w:r>
      <w:r>
        <w:t>medidas</w:t>
      </w:r>
      <w:r>
        <w:rPr>
          <w:spacing w:val="-2"/>
        </w:rPr>
        <w:t xml:space="preserve"> </w:t>
      </w:r>
      <w:r>
        <w:t>propuestas</w:t>
      </w:r>
      <w:r>
        <w:rPr>
          <w:spacing w:val="-2"/>
        </w:rPr>
        <w:t xml:space="preserve"> </w:t>
      </w:r>
      <w:r>
        <w:t>por</w:t>
      </w:r>
      <w:r>
        <w:rPr>
          <w:spacing w:val="-2"/>
        </w:rPr>
        <w:t xml:space="preserve"> </w:t>
      </w:r>
      <w:r>
        <w:t>la</w:t>
      </w:r>
      <w:r>
        <w:rPr>
          <w:spacing w:val="-3"/>
        </w:rPr>
        <w:t xml:space="preserve"> </w:t>
      </w:r>
      <w:r>
        <w:rPr>
          <w:spacing w:val="-2"/>
        </w:rPr>
        <w:t>Comisión:</w:t>
      </w:r>
    </w:p>
    <w:p w14:paraId="3CCE3E7E" w14:textId="77777777" w:rsidR="006D28A6" w:rsidRDefault="006D28A6">
      <w:pPr>
        <w:pStyle w:val="Textoindependiente"/>
        <w:spacing w:before="1"/>
        <w:jc w:val="left"/>
      </w:pPr>
    </w:p>
    <w:p w14:paraId="4F40473B" w14:textId="77777777" w:rsidR="006D28A6" w:rsidRDefault="00A90500">
      <w:pPr>
        <w:pStyle w:val="Prrafodelista"/>
        <w:numPr>
          <w:ilvl w:val="0"/>
          <w:numId w:val="2"/>
        </w:numPr>
        <w:tabs>
          <w:tab w:val="left" w:pos="1562"/>
          <w:tab w:val="left" w:pos="1564"/>
        </w:tabs>
        <w:ind w:right="141"/>
        <w:rPr>
          <w:sz w:val="24"/>
        </w:rPr>
      </w:pPr>
      <w:r>
        <w:rPr>
          <w:sz w:val="24"/>
        </w:rPr>
        <w:t xml:space="preserve">Directiva 2025/794, del Parlamento Europeo y del Consejo, de 14 de abril de 2025 (“Directiva de suspensión temporal”), pendiente de transposición a la legislación nacional, que retrasa dos años la aplicación de los requisitos de información de la CSRD para las empresas incluidas en la segunda y tercera </w:t>
      </w:r>
      <w:r>
        <w:rPr>
          <w:spacing w:val="-4"/>
          <w:sz w:val="24"/>
        </w:rPr>
        <w:t>fase.</w:t>
      </w:r>
    </w:p>
    <w:p w14:paraId="6FF98C01" w14:textId="77777777" w:rsidR="006D28A6" w:rsidRDefault="006D28A6">
      <w:pPr>
        <w:pStyle w:val="Textoindependiente"/>
        <w:jc w:val="left"/>
      </w:pPr>
    </w:p>
    <w:p w14:paraId="537CFFF1" w14:textId="77777777" w:rsidR="006D28A6" w:rsidRDefault="00A90500">
      <w:pPr>
        <w:pStyle w:val="Prrafodelista"/>
        <w:numPr>
          <w:ilvl w:val="0"/>
          <w:numId w:val="2"/>
        </w:numPr>
        <w:tabs>
          <w:tab w:val="left" w:pos="1562"/>
          <w:tab w:val="left" w:pos="1564"/>
        </w:tabs>
        <w:spacing w:before="1"/>
        <w:ind w:right="140"/>
        <w:rPr>
          <w:sz w:val="24"/>
        </w:rPr>
      </w:pPr>
      <w:r>
        <w:rPr>
          <w:sz w:val="24"/>
        </w:rPr>
        <w:t>Un</w:t>
      </w:r>
      <w:r>
        <w:rPr>
          <w:spacing w:val="-11"/>
          <w:sz w:val="24"/>
        </w:rPr>
        <w:t xml:space="preserve"> </w:t>
      </w:r>
      <w:r>
        <w:rPr>
          <w:sz w:val="24"/>
        </w:rPr>
        <w:t>Reglamento</w:t>
      </w:r>
      <w:r>
        <w:rPr>
          <w:spacing w:val="-11"/>
          <w:sz w:val="24"/>
        </w:rPr>
        <w:t xml:space="preserve"> </w:t>
      </w:r>
      <w:r>
        <w:rPr>
          <w:sz w:val="24"/>
        </w:rPr>
        <w:t>delegado</w:t>
      </w:r>
      <w:r>
        <w:rPr>
          <w:spacing w:val="-9"/>
          <w:sz w:val="24"/>
        </w:rPr>
        <w:t xml:space="preserve"> </w:t>
      </w:r>
      <w:r>
        <w:rPr>
          <w:i/>
          <w:sz w:val="25"/>
        </w:rPr>
        <w:t>“</w:t>
      </w:r>
      <w:proofErr w:type="spellStart"/>
      <w:r>
        <w:rPr>
          <w:i/>
          <w:sz w:val="25"/>
        </w:rPr>
        <w:t>quick</w:t>
      </w:r>
      <w:proofErr w:type="spellEnd"/>
      <w:r>
        <w:rPr>
          <w:i/>
          <w:spacing w:val="-12"/>
          <w:sz w:val="25"/>
        </w:rPr>
        <w:t xml:space="preserve"> </w:t>
      </w:r>
      <w:proofErr w:type="spellStart"/>
      <w:r>
        <w:rPr>
          <w:i/>
          <w:sz w:val="25"/>
        </w:rPr>
        <w:t>fix</w:t>
      </w:r>
      <w:proofErr w:type="spellEnd"/>
      <w:r>
        <w:rPr>
          <w:i/>
          <w:sz w:val="25"/>
        </w:rPr>
        <w:t>”</w:t>
      </w:r>
      <w:r>
        <w:rPr>
          <w:i/>
          <w:spacing w:val="-13"/>
          <w:sz w:val="25"/>
        </w:rPr>
        <w:t xml:space="preserve"> </w:t>
      </w:r>
      <w:r>
        <w:rPr>
          <w:sz w:val="24"/>
        </w:rPr>
        <w:t>adoptado</w:t>
      </w:r>
      <w:r>
        <w:rPr>
          <w:spacing w:val="-11"/>
          <w:sz w:val="24"/>
        </w:rPr>
        <w:t xml:space="preserve"> </w:t>
      </w:r>
      <w:r>
        <w:rPr>
          <w:sz w:val="24"/>
        </w:rPr>
        <w:t>el</w:t>
      </w:r>
      <w:r>
        <w:rPr>
          <w:spacing w:val="-11"/>
          <w:sz w:val="24"/>
        </w:rPr>
        <w:t xml:space="preserve"> </w:t>
      </w:r>
      <w:r>
        <w:rPr>
          <w:sz w:val="24"/>
        </w:rPr>
        <w:t>11</w:t>
      </w:r>
      <w:r>
        <w:rPr>
          <w:spacing w:val="-9"/>
          <w:sz w:val="24"/>
        </w:rPr>
        <w:t xml:space="preserve"> </w:t>
      </w:r>
      <w:r>
        <w:rPr>
          <w:sz w:val="24"/>
        </w:rPr>
        <w:t>de</w:t>
      </w:r>
      <w:r>
        <w:rPr>
          <w:spacing w:val="-11"/>
          <w:sz w:val="24"/>
        </w:rPr>
        <w:t xml:space="preserve"> </w:t>
      </w:r>
      <w:r>
        <w:rPr>
          <w:sz w:val="24"/>
        </w:rPr>
        <w:t>julio</w:t>
      </w:r>
      <w:r>
        <w:rPr>
          <w:spacing w:val="-11"/>
          <w:sz w:val="24"/>
        </w:rPr>
        <w:t xml:space="preserve"> </w:t>
      </w:r>
      <w:r>
        <w:rPr>
          <w:sz w:val="24"/>
        </w:rPr>
        <w:t>de</w:t>
      </w:r>
      <w:r>
        <w:rPr>
          <w:spacing w:val="-10"/>
          <w:sz w:val="24"/>
        </w:rPr>
        <w:t xml:space="preserve"> </w:t>
      </w:r>
      <w:r>
        <w:rPr>
          <w:sz w:val="24"/>
        </w:rPr>
        <w:t>2025,</w:t>
      </w:r>
      <w:r>
        <w:rPr>
          <w:spacing w:val="-7"/>
          <w:sz w:val="24"/>
        </w:rPr>
        <w:t xml:space="preserve"> </w:t>
      </w:r>
      <w:r>
        <w:rPr>
          <w:sz w:val="24"/>
        </w:rPr>
        <w:t>pendiente de publicación en el Diario Oficial de la Unión Europea (DOUE), que modifica el reglamento delegado de adopción de las ESRS, en particular, para las empresas de la primera fase:</w:t>
      </w:r>
    </w:p>
    <w:p w14:paraId="7D73AADF" w14:textId="77777777" w:rsidR="006D28A6" w:rsidRDefault="00A90500">
      <w:pPr>
        <w:pStyle w:val="Prrafodelista"/>
        <w:numPr>
          <w:ilvl w:val="1"/>
          <w:numId w:val="2"/>
        </w:numPr>
        <w:tabs>
          <w:tab w:val="left" w:pos="2283"/>
          <w:tab w:val="left" w:pos="2285"/>
        </w:tabs>
        <w:ind w:right="141"/>
        <w:rPr>
          <w:sz w:val="24"/>
        </w:rPr>
      </w:pPr>
      <w:r>
        <w:rPr>
          <w:sz w:val="24"/>
        </w:rPr>
        <w:t>Congela y retrasa 2 años la aplicación de las disposiciones transitorias, por</w:t>
      </w:r>
      <w:r>
        <w:rPr>
          <w:spacing w:val="-15"/>
          <w:sz w:val="24"/>
        </w:rPr>
        <w:t xml:space="preserve"> </w:t>
      </w:r>
      <w:r>
        <w:rPr>
          <w:sz w:val="24"/>
        </w:rPr>
        <w:t>ejemplo,</w:t>
      </w:r>
      <w:r>
        <w:rPr>
          <w:spacing w:val="-15"/>
          <w:sz w:val="24"/>
        </w:rPr>
        <w:t xml:space="preserve"> </w:t>
      </w:r>
      <w:r>
        <w:rPr>
          <w:sz w:val="24"/>
        </w:rPr>
        <w:t>respecto</w:t>
      </w:r>
      <w:r>
        <w:rPr>
          <w:spacing w:val="-15"/>
          <w:sz w:val="24"/>
        </w:rPr>
        <w:t xml:space="preserve"> </w:t>
      </w:r>
      <w:r>
        <w:rPr>
          <w:sz w:val="24"/>
        </w:rPr>
        <w:t>a</w:t>
      </w:r>
      <w:r>
        <w:rPr>
          <w:spacing w:val="-15"/>
          <w:sz w:val="24"/>
        </w:rPr>
        <w:t xml:space="preserve"> </w:t>
      </w:r>
      <w:r>
        <w:rPr>
          <w:sz w:val="24"/>
        </w:rPr>
        <w:t>no</w:t>
      </w:r>
      <w:r>
        <w:rPr>
          <w:spacing w:val="-15"/>
          <w:sz w:val="24"/>
        </w:rPr>
        <w:t xml:space="preserve"> </w:t>
      </w:r>
      <w:r>
        <w:rPr>
          <w:sz w:val="24"/>
        </w:rPr>
        <w:t>tener</w:t>
      </w:r>
      <w:r>
        <w:rPr>
          <w:spacing w:val="-15"/>
          <w:sz w:val="24"/>
        </w:rPr>
        <w:t xml:space="preserve"> </w:t>
      </w:r>
      <w:r>
        <w:rPr>
          <w:sz w:val="24"/>
        </w:rPr>
        <w:t>que</w:t>
      </w:r>
      <w:r>
        <w:rPr>
          <w:spacing w:val="-14"/>
          <w:sz w:val="24"/>
        </w:rPr>
        <w:t xml:space="preserve"> </w:t>
      </w:r>
      <w:r>
        <w:rPr>
          <w:sz w:val="24"/>
        </w:rPr>
        <w:t>desglosar</w:t>
      </w:r>
      <w:r>
        <w:rPr>
          <w:spacing w:val="-13"/>
          <w:sz w:val="24"/>
        </w:rPr>
        <w:t xml:space="preserve"> </w:t>
      </w:r>
      <w:r>
        <w:rPr>
          <w:sz w:val="24"/>
        </w:rPr>
        <w:t>los</w:t>
      </w:r>
      <w:r>
        <w:rPr>
          <w:spacing w:val="-15"/>
          <w:sz w:val="24"/>
        </w:rPr>
        <w:t xml:space="preserve"> </w:t>
      </w:r>
      <w:r>
        <w:rPr>
          <w:sz w:val="24"/>
        </w:rPr>
        <w:t>efectos</w:t>
      </w:r>
      <w:r>
        <w:rPr>
          <w:spacing w:val="-14"/>
          <w:sz w:val="24"/>
        </w:rPr>
        <w:t xml:space="preserve"> </w:t>
      </w:r>
      <w:r>
        <w:rPr>
          <w:sz w:val="24"/>
        </w:rPr>
        <w:t>financieros</w:t>
      </w:r>
      <w:r>
        <w:rPr>
          <w:spacing w:val="-15"/>
          <w:sz w:val="24"/>
        </w:rPr>
        <w:t xml:space="preserve"> </w:t>
      </w:r>
      <w:r>
        <w:rPr>
          <w:sz w:val="24"/>
        </w:rPr>
        <w:t>del cambio climático.</w:t>
      </w:r>
    </w:p>
    <w:p w14:paraId="596F238C" w14:textId="77777777" w:rsidR="006D28A6" w:rsidRDefault="00A90500">
      <w:pPr>
        <w:pStyle w:val="Prrafodelista"/>
        <w:numPr>
          <w:ilvl w:val="1"/>
          <w:numId w:val="2"/>
        </w:numPr>
        <w:tabs>
          <w:tab w:val="left" w:pos="2283"/>
          <w:tab w:val="left" w:pos="2285"/>
        </w:tabs>
        <w:ind w:right="139"/>
        <w:rPr>
          <w:sz w:val="24"/>
        </w:rPr>
      </w:pPr>
      <w:r>
        <w:rPr>
          <w:sz w:val="24"/>
        </w:rPr>
        <w:t>Hace extensivo a todas las entidades el régimen</w:t>
      </w:r>
      <w:r>
        <w:rPr>
          <w:spacing w:val="-2"/>
          <w:sz w:val="24"/>
        </w:rPr>
        <w:t xml:space="preserve"> </w:t>
      </w:r>
      <w:r>
        <w:rPr>
          <w:sz w:val="24"/>
        </w:rPr>
        <w:t>transitorio de dos años que solo beneficiaba inicialmente a las empresas con menos de 750 empleados, por ejemplo, en relación con la aplicación del estándar de desgloses</w:t>
      </w:r>
      <w:r>
        <w:rPr>
          <w:spacing w:val="-5"/>
          <w:sz w:val="24"/>
        </w:rPr>
        <w:t xml:space="preserve"> </w:t>
      </w:r>
      <w:r>
        <w:rPr>
          <w:sz w:val="24"/>
        </w:rPr>
        <w:t>E4,</w:t>
      </w:r>
      <w:r>
        <w:rPr>
          <w:spacing w:val="-4"/>
          <w:sz w:val="24"/>
        </w:rPr>
        <w:t xml:space="preserve"> </w:t>
      </w:r>
      <w:r>
        <w:rPr>
          <w:sz w:val="24"/>
        </w:rPr>
        <w:t>relativo</w:t>
      </w:r>
      <w:r>
        <w:rPr>
          <w:spacing w:val="-4"/>
          <w:sz w:val="24"/>
        </w:rPr>
        <w:t xml:space="preserve"> </w:t>
      </w:r>
      <w:r>
        <w:rPr>
          <w:sz w:val="24"/>
        </w:rPr>
        <w:t>a</w:t>
      </w:r>
      <w:r>
        <w:rPr>
          <w:spacing w:val="-4"/>
          <w:sz w:val="24"/>
        </w:rPr>
        <w:t xml:space="preserve"> </w:t>
      </w:r>
      <w:r>
        <w:rPr>
          <w:sz w:val="24"/>
        </w:rPr>
        <w:t>la</w:t>
      </w:r>
      <w:r>
        <w:rPr>
          <w:spacing w:val="-4"/>
          <w:sz w:val="24"/>
        </w:rPr>
        <w:t xml:space="preserve"> </w:t>
      </w:r>
      <w:r>
        <w:rPr>
          <w:sz w:val="24"/>
        </w:rPr>
        <w:t>biodiversidad,</w:t>
      </w:r>
      <w:r>
        <w:rPr>
          <w:spacing w:val="-3"/>
          <w:sz w:val="24"/>
        </w:rPr>
        <w:t xml:space="preserve"> </w:t>
      </w:r>
      <w:r>
        <w:rPr>
          <w:sz w:val="24"/>
        </w:rPr>
        <w:t>o</w:t>
      </w:r>
      <w:r>
        <w:rPr>
          <w:spacing w:val="-5"/>
          <w:sz w:val="24"/>
        </w:rPr>
        <w:t xml:space="preserve"> </w:t>
      </w:r>
      <w:r>
        <w:rPr>
          <w:sz w:val="24"/>
        </w:rPr>
        <w:t>los</w:t>
      </w:r>
      <w:r>
        <w:rPr>
          <w:spacing w:val="-4"/>
          <w:sz w:val="24"/>
        </w:rPr>
        <w:t xml:space="preserve"> </w:t>
      </w:r>
      <w:r>
        <w:rPr>
          <w:sz w:val="24"/>
        </w:rPr>
        <w:t>estándares</w:t>
      </w:r>
      <w:r>
        <w:rPr>
          <w:spacing w:val="-4"/>
          <w:sz w:val="24"/>
        </w:rPr>
        <w:t xml:space="preserve"> </w:t>
      </w:r>
      <w:r>
        <w:rPr>
          <w:sz w:val="24"/>
        </w:rPr>
        <w:t>sociales</w:t>
      </w:r>
      <w:r>
        <w:rPr>
          <w:spacing w:val="-5"/>
          <w:sz w:val="24"/>
        </w:rPr>
        <w:t xml:space="preserve"> </w:t>
      </w:r>
      <w:r>
        <w:rPr>
          <w:sz w:val="24"/>
        </w:rPr>
        <w:t>S2,</w:t>
      </w:r>
      <w:r>
        <w:rPr>
          <w:spacing w:val="-4"/>
          <w:sz w:val="24"/>
        </w:rPr>
        <w:t xml:space="preserve"> </w:t>
      </w:r>
      <w:r>
        <w:rPr>
          <w:sz w:val="24"/>
        </w:rPr>
        <w:t>S3 y S4, distintos del personal propio.</w:t>
      </w:r>
    </w:p>
    <w:p w14:paraId="17B3997D" w14:textId="77777777" w:rsidR="006D28A6" w:rsidRDefault="00A90500">
      <w:pPr>
        <w:spacing w:before="273"/>
        <w:ind w:left="851"/>
        <w:jc w:val="both"/>
        <w:rPr>
          <w:rFonts w:ascii="Myriad Pro Light" w:hAnsi="Myriad Pro Light"/>
          <w:b/>
        </w:rPr>
      </w:pPr>
      <w:r>
        <w:rPr>
          <w:rFonts w:ascii="Myriad Pro Light" w:hAnsi="Myriad Pro Light"/>
          <w:b/>
          <w:color w:val="AC2044"/>
        </w:rPr>
        <w:t>Actualización</w:t>
      </w:r>
      <w:r>
        <w:rPr>
          <w:rFonts w:ascii="Myriad Pro Light" w:hAnsi="Myriad Pro Light"/>
          <w:b/>
          <w:color w:val="AC2044"/>
          <w:spacing w:val="38"/>
        </w:rPr>
        <w:t xml:space="preserve"> </w:t>
      </w:r>
      <w:r>
        <w:rPr>
          <w:rFonts w:ascii="Myriad Pro Light" w:hAnsi="Myriad Pro Light"/>
          <w:b/>
          <w:color w:val="AC2044"/>
        </w:rPr>
        <w:t>del</w:t>
      </w:r>
      <w:r>
        <w:rPr>
          <w:rFonts w:ascii="Myriad Pro Light" w:hAnsi="Myriad Pro Light"/>
          <w:b/>
          <w:color w:val="AC2044"/>
          <w:spacing w:val="37"/>
        </w:rPr>
        <w:t xml:space="preserve"> </w:t>
      </w:r>
      <w:r>
        <w:rPr>
          <w:rFonts w:ascii="Myriad Pro Light" w:hAnsi="Myriad Pro Light"/>
          <w:b/>
          <w:color w:val="AC2044"/>
        </w:rPr>
        <w:t>Comunicado</w:t>
      </w:r>
      <w:r>
        <w:rPr>
          <w:rFonts w:ascii="Myriad Pro Light" w:hAnsi="Myriad Pro Light"/>
          <w:b/>
          <w:color w:val="AC2044"/>
          <w:spacing w:val="40"/>
        </w:rPr>
        <w:t xml:space="preserve"> </w:t>
      </w:r>
      <w:r>
        <w:rPr>
          <w:rFonts w:ascii="Myriad Pro Light" w:hAnsi="Myriad Pro Light"/>
          <w:b/>
          <w:color w:val="AC2044"/>
        </w:rPr>
        <w:t>de</w:t>
      </w:r>
      <w:r>
        <w:rPr>
          <w:rFonts w:ascii="Myriad Pro Light" w:hAnsi="Myriad Pro Light"/>
          <w:b/>
          <w:color w:val="AC2044"/>
          <w:spacing w:val="42"/>
        </w:rPr>
        <w:t xml:space="preserve"> </w:t>
      </w:r>
      <w:r>
        <w:rPr>
          <w:rFonts w:ascii="Myriad Pro Light" w:hAnsi="Myriad Pro Light"/>
          <w:b/>
          <w:color w:val="AC2044"/>
        </w:rPr>
        <w:t>CNMV</w:t>
      </w:r>
      <w:r>
        <w:rPr>
          <w:rFonts w:ascii="Myriad Pro Light" w:hAnsi="Myriad Pro Light"/>
          <w:b/>
          <w:color w:val="AC2044"/>
          <w:spacing w:val="34"/>
        </w:rPr>
        <w:t xml:space="preserve"> </w:t>
      </w:r>
      <w:r>
        <w:rPr>
          <w:rFonts w:ascii="Myriad Pro Light" w:hAnsi="Myriad Pro Light"/>
          <w:b/>
          <w:color w:val="AC2044"/>
        </w:rPr>
        <w:t>e</w:t>
      </w:r>
      <w:r>
        <w:rPr>
          <w:rFonts w:ascii="Myriad Pro Light" w:hAnsi="Myriad Pro Light"/>
          <w:b/>
          <w:color w:val="AC2044"/>
          <w:spacing w:val="42"/>
        </w:rPr>
        <w:t xml:space="preserve"> </w:t>
      </w:r>
      <w:r>
        <w:rPr>
          <w:rFonts w:ascii="Myriad Pro Light" w:hAnsi="Myriad Pro Light"/>
          <w:b/>
          <w:color w:val="AC2044"/>
          <w:spacing w:val="-4"/>
        </w:rPr>
        <w:t>ICAC</w:t>
      </w:r>
    </w:p>
    <w:p w14:paraId="60140BE7" w14:textId="77777777" w:rsidR="006D28A6" w:rsidRDefault="006D28A6">
      <w:pPr>
        <w:pStyle w:val="Textoindependiente"/>
        <w:spacing w:before="12"/>
        <w:jc w:val="left"/>
        <w:rPr>
          <w:rFonts w:ascii="Myriad Pro Light"/>
          <w:b/>
          <w:sz w:val="22"/>
        </w:rPr>
      </w:pPr>
    </w:p>
    <w:p w14:paraId="1599339D" w14:textId="1250BD2E" w:rsidR="00567AE9" w:rsidRDefault="00567AE9">
      <w:pPr>
        <w:pStyle w:val="Textoindependiente"/>
        <w:ind w:left="851" w:right="137"/>
      </w:pPr>
      <w:r>
        <w:t>Teniendo en cuenta los mencionados cambios normativos, se procede a actualizar el contenido</w:t>
      </w:r>
      <w:r>
        <w:rPr>
          <w:spacing w:val="-4"/>
        </w:rPr>
        <w:t xml:space="preserve"> </w:t>
      </w:r>
      <w:r>
        <w:t>del</w:t>
      </w:r>
      <w:r>
        <w:rPr>
          <w:spacing w:val="-4"/>
        </w:rPr>
        <w:t xml:space="preserve"> </w:t>
      </w:r>
      <w:r>
        <w:t>comunicado</w:t>
      </w:r>
      <w:r>
        <w:rPr>
          <w:spacing w:val="-5"/>
        </w:rPr>
        <w:t xml:space="preserve"> </w:t>
      </w:r>
      <w:r>
        <w:t>de</w:t>
      </w:r>
      <w:r>
        <w:rPr>
          <w:spacing w:val="-4"/>
        </w:rPr>
        <w:t xml:space="preserve"> </w:t>
      </w:r>
      <w:r>
        <w:t>27</w:t>
      </w:r>
      <w:r>
        <w:rPr>
          <w:spacing w:val="-5"/>
        </w:rPr>
        <w:t xml:space="preserve"> </w:t>
      </w:r>
      <w:r>
        <w:t>de</w:t>
      </w:r>
      <w:r>
        <w:rPr>
          <w:spacing w:val="-4"/>
        </w:rPr>
        <w:t xml:space="preserve"> </w:t>
      </w:r>
      <w:r>
        <w:t>noviembre</w:t>
      </w:r>
      <w:r>
        <w:rPr>
          <w:spacing w:val="-4"/>
        </w:rPr>
        <w:t xml:space="preserve"> </w:t>
      </w:r>
      <w:r>
        <w:t>de</w:t>
      </w:r>
      <w:r>
        <w:rPr>
          <w:spacing w:val="-4"/>
        </w:rPr>
        <w:t xml:space="preserve"> </w:t>
      </w:r>
      <w:r>
        <w:t>2024,</w:t>
      </w:r>
      <w:r>
        <w:rPr>
          <w:spacing w:val="-6"/>
        </w:rPr>
        <w:t xml:space="preserve"> </w:t>
      </w:r>
      <w:r>
        <w:t>ante</w:t>
      </w:r>
      <w:r>
        <w:rPr>
          <w:spacing w:val="-4"/>
        </w:rPr>
        <w:t xml:space="preserve"> </w:t>
      </w:r>
      <w:r>
        <w:t>la</w:t>
      </w:r>
      <w:r>
        <w:rPr>
          <w:spacing w:val="-6"/>
        </w:rPr>
        <w:t xml:space="preserve"> </w:t>
      </w:r>
      <w:r>
        <w:t>eventualidad</w:t>
      </w:r>
      <w:r>
        <w:rPr>
          <w:spacing w:val="-5"/>
        </w:rPr>
        <w:t xml:space="preserve"> </w:t>
      </w:r>
      <w:r>
        <w:t>de</w:t>
      </w:r>
      <w:r>
        <w:rPr>
          <w:spacing w:val="-4"/>
        </w:rPr>
        <w:t xml:space="preserve"> </w:t>
      </w:r>
      <w:r>
        <w:t>que a</w:t>
      </w:r>
    </w:p>
    <w:p w14:paraId="0502AC7B" w14:textId="36FC8938" w:rsidR="00691170" w:rsidRDefault="00A90500">
      <w:pPr>
        <w:pStyle w:val="Textoindependiente"/>
        <w:ind w:left="851" w:right="137"/>
        <w:rPr>
          <w:spacing w:val="-2"/>
        </w:rPr>
      </w:pPr>
      <w:r>
        <w:t>31</w:t>
      </w:r>
      <w:r>
        <w:rPr>
          <w:spacing w:val="-6"/>
        </w:rPr>
        <w:t xml:space="preserve"> </w:t>
      </w:r>
      <w:r>
        <w:t>de</w:t>
      </w:r>
      <w:r>
        <w:rPr>
          <w:spacing w:val="-6"/>
        </w:rPr>
        <w:t xml:space="preserve"> </w:t>
      </w:r>
      <w:r>
        <w:t>diciembre</w:t>
      </w:r>
      <w:r>
        <w:rPr>
          <w:spacing w:val="-7"/>
        </w:rPr>
        <w:t xml:space="preserve"> </w:t>
      </w:r>
      <w:r>
        <w:t>de</w:t>
      </w:r>
      <w:r>
        <w:rPr>
          <w:spacing w:val="-6"/>
        </w:rPr>
        <w:t xml:space="preserve"> </w:t>
      </w:r>
      <w:r>
        <w:t>2025</w:t>
      </w:r>
      <w:r>
        <w:rPr>
          <w:spacing w:val="-9"/>
        </w:rPr>
        <w:t xml:space="preserve"> </w:t>
      </w:r>
      <w:r>
        <w:t>la</w:t>
      </w:r>
      <w:r>
        <w:rPr>
          <w:spacing w:val="-7"/>
        </w:rPr>
        <w:t xml:space="preserve"> </w:t>
      </w:r>
      <w:r>
        <w:t>legislación</w:t>
      </w:r>
      <w:r>
        <w:rPr>
          <w:spacing w:val="-7"/>
        </w:rPr>
        <w:t xml:space="preserve"> </w:t>
      </w:r>
      <w:r>
        <w:t>española</w:t>
      </w:r>
      <w:r>
        <w:rPr>
          <w:spacing w:val="-6"/>
        </w:rPr>
        <w:t xml:space="preserve"> </w:t>
      </w:r>
      <w:r>
        <w:t>no</w:t>
      </w:r>
      <w:r>
        <w:rPr>
          <w:spacing w:val="-6"/>
        </w:rPr>
        <w:t xml:space="preserve"> </w:t>
      </w:r>
      <w:r>
        <w:t>se</w:t>
      </w:r>
      <w:r>
        <w:rPr>
          <w:spacing w:val="-8"/>
        </w:rPr>
        <w:t xml:space="preserve"> </w:t>
      </w:r>
      <w:r>
        <w:t>hubiera</w:t>
      </w:r>
      <w:r>
        <w:rPr>
          <w:spacing w:val="-10"/>
        </w:rPr>
        <w:t xml:space="preserve"> </w:t>
      </w:r>
      <w:r>
        <w:t>equiparado</w:t>
      </w:r>
      <w:r>
        <w:rPr>
          <w:spacing w:val="-6"/>
        </w:rPr>
        <w:t xml:space="preserve"> </w:t>
      </w:r>
      <w:r>
        <w:t>a</w:t>
      </w:r>
      <w:r>
        <w:rPr>
          <w:spacing w:val="-7"/>
        </w:rPr>
        <w:t xml:space="preserve"> </w:t>
      </w:r>
      <w:r>
        <w:t>la</w:t>
      </w:r>
      <w:r>
        <w:rPr>
          <w:spacing w:val="-6"/>
        </w:rPr>
        <w:t xml:space="preserve"> </w:t>
      </w:r>
      <w:r>
        <w:rPr>
          <w:spacing w:val="-2"/>
        </w:rPr>
        <w:t>europea:</w:t>
      </w:r>
    </w:p>
    <w:p w14:paraId="32F08E34" w14:textId="77777777" w:rsidR="00744CD5" w:rsidRDefault="00744CD5">
      <w:pPr>
        <w:pStyle w:val="Textoindependiente"/>
        <w:ind w:left="851" w:right="137"/>
      </w:pPr>
    </w:p>
    <w:p w14:paraId="525A19F5" w14:textId="3A02E234" w:rsidR="000978AA" w:rsidRPr="00BA34A3" w:rsidRDefault="00A90500" w:rsidP="00744CD5">
      <w:pPr>
        <w:pStyle w:val="Prrafodelista"/>
        <w:numPr>
          <w:ilvl w:val="0"/>
          <w:numId w:val="1"/>
        </w:numPr>
        <w:tabs>
          <w:tab w:val="left" w:pos="1278"/>
        </w:tabs>
        <w:rPr>
          <w:sz w:val="24"/>
        </w:rPr>
      </w:pPr>
      <w:r w:rsidRPr="00BA34A3">
        <w:rPr>
          <w:sz w:val="24"/>
        </w:rPr>
        <w:t>En línea con el comunicado conjunto anterior, a efectos de que la información que se publique en España sea comparable, en el mayor grado posible, con la que publiquen el resto de entidades de la Unión Europea, se considera recomendable que las entidades españolas incluidas en la Fase 1, obligadas a publicar información de sostenibilidad del ejercicio 2025, publiquen el EINF considerando las ESRS</w:t>
      </w:r>
      <w:r w:rsidR="0008616A" w:rsidRPr="00BA34A3">
        <w:rPr>
          <w:sz w:val="24"/>
        </w:rPr>
        <w:t xml:space="preserve"> </w:t>
      </w:r>
      <w:r w:rsidRPr="00BA34A3">
        <w:rPr>
          <w:sz w:val="24"/>
        </w:rPr>
        <w:t>en la medida que estén en disposición</w:t>
      </w:r>
      <w:r w:rsidR="00D41B44" w:rsidRPr="00BA34A3">
        <w:rPr>
          <w:sz w:val="24"/>
        </w:rPr>
        <w:t xml:space="preserve"> de </w:t>
      </w:r>
      <w:r w:rsidR="006619F1" w:rsidRPr="00BA34A3">
        <w:rPr>
          <w:sz w:val="24"/>
        </w:rPr>
        <w:t>hacerlo, y acogiéndose al nuevo marco transitorio comunitario, tal y como se detalla con anterioridad, una vez el Reglamento delegado “</w:t>
      </w:r>
      <w:proofErr w:type="spellStart"/>
      <w:r w:rsidR="006619F1" w:rsidRPr="00BA34A3">
        <w:rPr>
          <w:sz w:val="24"/>
        </w:rPr>
        <w:t>quick</w:t>
      </w:r>
      <w:proofErr w:type="spellEnd"/>
      <w:r w:rsidR="006619F1" w:rsidRPr="00BA34A3">
        <w:rPr>
          <w:sz w:val="24"/>
        </w:rPr>
        <w:t xml:space="preserve"> </w:t>
      </w:r>
      <w:proofErr w:type="spellStart"/>
      <w:r w:rsidR="006619F1" w:rsidRPr="00BA34A3">
        <w:rPr>
          <w:sz w:val="24"/>
        </w:rPr>
        <w:t>fix</w:t>
      </w:r>
      <w:proofErr w:type="spellEnd"/>
      <w:r w:rsidR="006619F1" w:rsidRPr="00BA34A3">
        <w:rPr>
          <w:sz w:val="24"/>
        </w:rPr>
        <w:t>” esté publicado en el DOUE, lo cual permitirá a las entidades la posibilidad de aplicar</w:t>
      </w:r>
      <w:r w:rsidR="006619F1">
        <w:rPr>
          <w:sz w:val="24"/>
        </w:rPr>
        <w:t>,</w:t>
      </w:r>
      <w:r w:rsidR="006619F1" w:rsidRPr="00BA34A3">
        <w:rPr>
          <w:sz w:val="24"/>
        </w:rPr>
        <w:t xml:space="preserve"> en determinados supuestos, y cuando lo consideren adecuado, ciertas exenciones</w:t>
      </w:r>
      <w:r w:rsidR="00C850B9" w:rsidRPr="00BA34A3">
        <w:rPr>
          <w:sz w:val="24"/>
        </w:rPr>
        <w:t xml:space="preserve">. </w:t>
      </w:r>
    </w:p>
    <w:p w14:paraId="1955D495" w14:textId="722EBE32" w:rsidR="006D28A6" w:rsidRDefault="006619F1" w:rsidP="00BA34A3">
      <w:pPr>
        <w:pStyle w:val="Prrafodelista"/>
        <w:tabs>
          <w:tab w:val="left" w:pos="1278"/>
        </w:tabs>
        <w:spacing w:before="74"/>
        <w:ind w:left="1278" w:firstLine="0"/>
        <w:rPr>
          <w:sz w:val="24"/>
        </w:rPr>
      </w:pPr>
      <w:r w:rsidRPr="000978AA">
        <w:rPr>
          <w:sz w:val="24"/>
        </w:rPr>
        <w:t>En cualquier caso, las entidades españolas incluidas en la Fase 1 deben asegurarse del cumplimiento de todos los requerimientos establecidos en la Ley 11/2018 y en el Real Decreto 214/2025, que desarrolla la Ley 7/2021, de Cambio Climático y Transición Energética</w:t>
      </w:r>
      <w:r>
        <w:rPr>
          <w:sz w:val="24"/>
        </w:rPr>
        <w:t>.</w:t>
      </w:r>
    </w:p>
    <w:p w14:paraId="0CC91905" w14:textId="77777777" w:rsidR="006D28A6" w:rsidRDefault="006D28A6">
      <w:pPr>
        <w:pStyle w:val="Textoindependiente"/>
        <w:spacing w:before="2"/>
        <w:jc w:val="left"/>
      </w:pPr>
    </w:p>
    <w:p w14:paraId="51A98296" w14:textId="5850D613" w:rsidR="00A311FD" w:rsidRDefault="00A90500">
      <w:pPr>
        <w:pStyle w:val="Prrafodelista"/>
        <w:numPr>
          <w:ilvl w:val="0"/>
          <w:numId w:val="1"/>
        </w:numPr>
        <w:tabs>
          <w:tab w:val="left" w:pos="1278"/>
        </w:tabs>
        <w:rPr>
          <w:sz w:val="24"/>
        </w:rPr>
      </w:pPr>
      <w:r w:rsidRPr="00BA34A3">
        <w:rPr>
          <w:sz w:val="24"/>
        </w:rPr>
        <w:t>Por</w:t>
      </w:r>
      <w:r w:rsidRPr="00BA34A3">
        <w:rPr>
          <w:spacing w:val="-5"/>
          <w:sz w:val="24"/>
        </w:rPr>
        <w:t xml:space="preserve"> </w:t>
      </w:r>
      <w:r w:rsidRPr="00BA34A3">
        <w:rPr>
          <w:sz w:val="24"/>
        </w:rPr>
        <w:t>otro</w:t>
      </w:r>
      <w:r w:rsidRPr="00BA34A3">
        <w:rPr>
          <w:spacing w:val="-4"/>
          <w:sz w:val="24"/>
        </w:rPr>
        <w:t xml:space="preserve"> </w:t>
      </w:r>
      <w:r w:rsidRPr="00BA34A3">
        <w:rPr>
          <w:sz w:val="24"/>
        </w:rPr>
        <w:t>lado,</w:t>
      </w:r>
      <w:r w:rsidRPr="00BA34A3">
        <w:rPr>
          <w:spacing w:val="-3"/>
          <w:sz w:val="24"/>
        </w:rPr>
        <w:t xml:space="preserve"> </w:t>
      </w:r>
      <w:r w:rsidRPr="00BA34A3">
        <w:rPr>
          <w:sz w:val="24"/>
        </w:rPr>
        <w:t>se</w:t>
      </w:r>
      <w:r w:rsidRPr="00BA34A3">
        <w:rPr>
          <w:spacing w:val="-4"/>
          <w:sz w:val="24"/>
        </w:rPr>
        <w:t xml:space="preserve"> </w:t>
      </w:r>
      <w:r w:rsidRPr="00BA34A3">
        <w:rPr>
          <w:sz w:val="24"/>
        </w:rPr>
        <w:t>recomienda</w:t>
      </w:r>
      <w:r w:rsidRPr="00A311FD">
        <w:rPr>
          <w:sz w:val="24"/>
        </w:rPr>
        <w:t xml:space="preserve"> </w:t>
      </w:r>
      <w:r w:rsidRPr="00BA34A3">
        <w:rPr>
          <w:sz w:val="24"/>
        </w:rPr>
        <w:t>que</w:t>
      </w:r>
      <w:r w:rsidRPr="00A311FD">
        <w:rPr>
          <w:sz w:val="24"/>
        </w:rPr>
        <w:t xml:space="preserve"> </w:t>
      </w:r>
      <w:r w:rsidRPr="00BA34A3">
        <w:rPr>
          <w:sz w:val="24"/>
        </w:rPr>
        <w:t>el</w:t>
      </w:r>
      <w:r w:rsidRPr="00A311FD">
        <w:rPr>
          <w:sz w:val="24"/>
        </w:rPr>
        <w:t xml:space="preserve"> </w:t>
      </w:r>
      <w:r w:rsidRPr="00BA34A3">
        <w:rPr>
          <w:sz w:val="24"/>
        </w:rPr>
        <w:t>resto</w:t>
      </w:r>
      <w:r w:rsidRPr="00A311FD">
        <w:rPr>
          <w:sz w:val="24"/>
        </w:rPr>
        <w:t xml:space="preserve"> </w:t>
      </w:r>
      <w:r w:rsidRPr="00BA34A3">
        <w:rPr>
          <w:sz w:val="24"/>
        </w:rPr>
        <w:t>de</w:t>
      </w:r>
      <w:r w:rsidRPr="00A311FD">
        <w:rPr>
          <w:sz w:val="24"/>
        </w:rPr>
        <w:t xml:space="preserve"> </w:t>
      </w:r>
      <w:r w:rsidRPr="00BA34A3">
        <w:rPr>
          <w:sz w:val="24"/>
        </w:rPr>
        <w:t xml:space="preserve">las </w:t>
      </w:r>
      <w:r w:rsidRPr="00A311FD">
        <w:rPr>
          <w:sz w:val="24"/>
        </w:rPr>
        <w:t>entidades sujetas a la Ley 11/2018,</w:t>
      </w:r>
      <w:r w:rsidRPr="00BA34A3">
        <w:rPr>
          <w:sz w:val="24"/>
        </w:rPr>
        <w:t xml:space="preserve"> </w:t>
      </w:r>
      <w:r w:rsidRPr="00A311FD">
        <w:rPr>
          <w:sz w:val="24"/>
        </w:rPr>
        <w:t>de la Fase 2</w:t>
      </w:r>
      <w:r w:rsidRPr="00BA34A3">
        <w:rPr>
          <w:sz w:val="24"/>
        </w:rPr>
        <w:t>,</w:t>
      </w:r>
      <w:r w:rsidRPr="00A311FD">
        <w:rPr>
          <w:sz w:val="24"/>
        </w:rPr>
        <w:t xml:space="preserve"> </w:t>
      </w:r>
      <w:r w:rsidRPr="00BA34A3">
        <w:rPr>
          <w:sz w:val="24"/>
        </w:rPr>
        <w:t>en</w:t>
      </w:r>
      <w:r w:rsidRPr="00A311FD">
        <w:rPr>
          <w:sz w:val="24"/>
        </w:rPr>
        <w:t xml:space="preserve"> </w:t>
      </w:r>
      <w:r w:rsidRPr="00BA34A3">
        <w:rPr>
          <w:sz w:val="24"/>
        </w:rPr>
        <w:t>la</w:t>
      </w:r>
      <w:r w:rsidRPr="00A311FD">
        <w:rPr>
          <w:sz w:val="24"/>
        </w:rPr>
        <w:t xml:space="preserve"> </w:t>
      </w:r>
      <w:r w:rsidRPr="00BA34A3">
        <w:rPr>
          <w:sz w:val="24"/>
        </w:rPr>
        <w:t>elaboración</w:t>
      </w:r>
      <w:r w:rsidRPr="00A311FD">
        <w:rPr>
          <w:sz w:val="24"/>
        </w:rPr>
        <w:t xml:space="preserve"> </w:t>
      </w:r>
      <w:r w:rsidRPr="00BA34A3">
        <w:rPr>
          <w:sz w:val="24"/>
        </w:rPr>
        <w:t>de</w:t>
      </w:r>
      <w:r w:rsidRPr="00A311FD">
        <w:rPr>
          <w:sz w:val="24"/>
        </w:rPr>
        <w:t xml:space="preserve"> </w:t>
      </w:r>
      <w:r w:rsidRPr="00BA34A3">
        <w:rPr>
          <w:sz w:val="24"/>
        </w:rPr>
        <w:t>su</w:t>
      </w:r>
      <w:r w:rsidRPr="00A311FD">
        <w:rPr>
          <w:sz w:val="24"/>
        </w:rPr>
        <w:t xml:space="preserve"> </w:t>
      </w:r>
      <w:r w:rsidRPr="00BA34A3">
        <w:rPr>
          <w:sz w:val="24"/>
        </w:rPr>
        <w:t>EINF</w:t>
      </w:r>
      <w:r w:rsidRPr="00A311FD">
        <w:rPr>
          <w:sz w:val="24"/>
        </w:rPr>
        <w:t xml:space="preserve"> </w:t>
      </w:r>
      <w:r w:rsidRPr="00BA34A3">
        <w:rPr>
          <w:sz w:val="24"/>
        </w:rPr>
        <w:t>del</w:t>
      </w:r>
      <w:r w:rsidRPr="00A311FD">
        <w:rPr>
          <w:sz w:val="24"/>
        </w:rPr>
        <w:t xml:space="preserve"> </w:t>
      </w:r>
      <w:r w:rsidRPr="00BA34A3">
        <w:rPr>
          <w:sz w:val="24"/>
        </w:rPr>
        <w:t>ejercicio</w:t>
      </w:r>
      <w:r w:rsidRPr="00A311FD">
        <w:rPr>
          <w:sz w:val="24"/>
        </w:rPr>
        <w:t xml:space="preserve"> </w:t>
      </w:r>
      <w:r w:rsidRPr="00BA34A3">
        <w:rPr>
          <w:sz w:val="24"/>
        </w:rPr>
        <w:t>2025</w:t>
      </w:r>
      <w:r w:rsidR="00EB60C5">
        <w:rPr>
          <w:sz w:val="24"/>
        </w:rPr>
        <w:t>,</w:t>
      </w:r>
      <w:r w:rsidRPr="00A311FD">
        <w:rPr>
          <w:sz w:val="24"/>
        </w:rPr>
        <w:t xml:space="preserve"> </w:t>
      </w:r>
      <w:r w:rsidR="00A311FD" w:rsidRPr="00A311FD">
        <w:rPr>
          <w:sz w:val="24"/>
        </w:rPr>
        <w:t>valoren la conveniencia y utilidad</w:t>
      </w:r>
      <w:r w:rsidR="00A311FD">
        <w:rPr>
          <w:sz w:val="24"/>
        </w:rPr>
        <w:t xml:space="preserve"> de aplicar las ESRS, </w:t>
      </w:r>
      <w:r w:rsidR="0069375A">
        <w:rPr>
          <w:sz w:val="24"/>
        </w:rPr>
        <w:t xml:space="preserve">o en su caso el </w:t>
      </w:r>
      <w:hyperlink r:id="rId12" w:history="1">
        <w:r w:rsidR="0069375A" w:rsidRPr="004F46E4">
          <w:rPr>
            <w:rStyle w:val="Hipervnculo"/>
            <w:sz w:val="24"/>
          </w:rPr>
          <w:t>VS</w:t>
        </w:r>
        <w:r w:rsidR="0069375A" w:rsidRPr="004F46E4">
          <w:rPr>
            <w:rStyle w:val="Hipervnculo"/>
            <w:sz w:val="24"/>
          </w:rPr>
          <w:t>M</w:t>
        </w:r>
        <w:r w:rsidR="0069375A" w:rsidRPr="004F46E4">
          <w:rPr>
            <w:rStyle w:val="Hipervnculo"/>
            <w:sz w:val="24"/>
          </w:rPr>
          <w:t>E</w:t>
        </w:r>
      </w:hyperlink>
      <w:r w:rsidR="0069375A">
        <w:rPr>
          <w:rStyle w:val="Refdenotaalpie"/>
          <w:sz w:val="24"/>
        </w:rPr>
        <w:footnoteReference w:id="1"/>
      </w:r>
      <w:r w:rsidR="0069375A">
        <w:rPr>
          <w:sz w:val="24"/>
        </w:rPr>
        <w:t xml:space="preserve">, </w:t>
      </w:r>
      <w:r w:rsidR="004A3D5A">
        <w:rPr>
          <w:sz w:val="24"/>
        </w:rPr>
        <w:t>teniendo en cuenta la Directiva de “suspensión temporal” y el resto de la normativa europea en curso.</w:t>
      </w:r>
    </w:p>
    <w:p w14:paraId="0EE35807" w14:textId="77777777" w:rsidR="00CA477A" w:rsidRPr="00A311FD" w:rsidRDefault="00CA477A" w:rsidP="00CA477A">
      <w:pPr>
        <w:pStyle w:val="Prrafodelista"/>
        <w:tabs>
          <w:tab w:val="left" w:pos="1278"/>
        </w:tabs>
        <w:ind w:left="1278" w:firstLine="0"/>
        <w:rPr>
          <w:sz w:val="24"/>
        </w:rPr>
      </w:pPr>
    </w:p>
    <w:p w14:paraId="4A48A1EC" w14:textId="77777777" w:rsidR="006D28A6" w:rsidRDefault="00A90500">
      <w:pPr>
        <w:pStyle w:val="Prrafodelista"/>
        <w:numPr>
          <w:ilvl w:val="0"/>
          <w:numId w:val="1"/>
        </w:numPr>
        <w:tabs>
          <w:tab w:val="left" w:pos="1278"/>
        </w:tabs>
        <w:spacing w:before="74"/>
        <w:rPr>
          <w:sz w:val="24"/>
        </w:rPr>
      </w:pPr>
      <w:r>
        <w:rPr>
          <w:sz w:val="24"/>
        </w:rPr>
        <w:t>En</w:t>
      </w:r>
      <w:r>
        <w:rPr>
          <w:spacing w:val="-11"/>
          <w:sz w:val="24"/>
        </w:rPr>
        <w:t xml:space="preserve"> </w:t>
      </w:r>
      <w:r>
        <w:rPr>
          <w:sz w:val="24"/>
        </w:rPr>
        <w:t>relación</w:t>
      </w:r>
      <w:r>
        <w:rPr>
          <w:spacing w:val="-11"/>
          <w:sz w:val="24"/>
        </w:rPr>
        <w:t xml:space="preserve"> </w:t>
      </w:r>
      <w:r>
        <w:rPr>
          <w:sz w:val="24"/>
        </w:rPr>
        <w:t>con</w:t>
      </w:r>
      <w:r>
        <w:rPr>
          <w:spacing w:val="-11"/>
          <w:sz w:val="24"/>
        </w:rPr>
        <w:t xml:space="preserve"> </w:t>
      </w:r>
      <w:r>
        <w:rPr>
          <w:sz w:val="24"/>
        </w:rPr>
        <w:t>la</w:t>
      </w:r>
      <w:r>
        <w:rPr>
          <w:spacing w:val="-10"/>
          <w:sz w:val="24"/>
        </w:rPr>
        <w:t xml:space="preserve"> </w:t>
      </w:r>
      <w:r>
        <w:rPr>
          <w:sz w:val="24"/>
          <w:u w:val="single"/>
        </w:rPr>
        <w:t>verificación</w:t>
      </w:r>
      <w:r>
        <w:rPr>
          <w:spacing w:val="-11"/>
          <w:sz w:val="24"/>
          <w:u w:val="single"/>
        </w:rPr>
        <w:t xml:space="preserve"> </w:t>
      </w:r>
      <w:r>
        <w:rPr>
          <w:sz w:val="24"/>
          <w:u w:val="single"/>
        </w:rPr>
        <w:t>independiente</w:t>
      </w:r>
      <w:r>
        <w:rPr>
          <w:spacing w:val="-10"/>
          <w:sz w:val="24"/>
          <w:u w:val="single"/>
        </w:rPr>
        <w:t xml:space="preserve"> </w:t>
      </w:r>
      <w:r>
        <w:rPr>
          <w:sz w:val="24"/>
          <w:u w:val="single"/>
        </w:rPr>
        <w:t>del</w:t>
      </w:r>
      <w:r>
        <w:rPr>
          <w:spacing w:val="-10"/>
          <w:sz w:val="24"/>
          <w:u w:val="single"/>
        </w:rPr>
        <w:t xml:space="preserve"> </w:t>
      </w:r>
      <w:r>
        <w:rPr>
          <w:sz w:val="24"/>
          <w:u w:val="single"/>
        </w:rPr>
        <w:t>contenido</w:t>
      </w:r>
      <w:r>
        <w:rPr>
          <w:spacing w:val="-10"/>
          <w:sz w:val="24"/>
          <w:u w:val="single"/>
        </w:rPr>
        <w:t xml:space="preserve"> </w:t>
      </w:r>
      <w:r>
        <w:rPr>
          <w:sz w:val="24"/>
          <w:u w:val="single"/>
        </w:rPr>
        <w:t>del</w:t>
      </w:r>
      <w:r>
        <w:rPr>
          <w:spacing w:val="-10"/>
          <w:sz w:val="24"/>
          <w:u w:val="single"/>
        </w:rPr>
        <w:t xml:space="preserve"> </w:t>
      </w:r>
      <w:r>
        <w:rPr>
          <w:sz w:val="24"/>
          <w:u w:val="single"/>
        </w:rPr>
        <w:t>EINF</w:t>
      </w:r>
      <w:r>
        <w:rPr>
          <w:spacing w:val="-11"/>
          <w:sz w:val="24"/>
          <w:u w:val="single"/>
        </w:rPr>
        <w:t xml:space="preserve"> </w:t>
      </w:r>
      <w:r>
        <w:rPr>
          <w:sz w:val="24"/>
          <w:u w:val="single"/>
        </w:rPr>
        <w:t>o</w:t>
      </w:r>
      <w:r>
        <w:rPr>
          <w:spacing w:val="-10"/>
          <w:sz w:val="24"/>
          <w:u w:val="single"/>
        </w:rPr>
        <w:t xml:space="preserve"> </w:t>
      </w:r>
      <w:r>
        <w:rPr>
          <w:sz w:val="24"/>
          <w:u w:val="single"/>
        </w:rPr>
        <w:t>Informe</w:t>
      </w:r>
      <w:r>
        <w:rPr>
          <w:spacing w:val="-10"/>
          <w:sz w:val="24"/>
          <w:u w:val="single"/>
        </w:rPr>
        <w:t xml:space="preserve"> </w:t>
      </w:r>
      <w:r>
        <w:rPr>
          <w:sz w:val="24"/>
          <w:u w:val="single"/>
        </w:rPr>
        <w:t>de</w:t>
      </w:r>
      <w:r>
        <w:rPr>
          <w:sz w:val="24"/>
        </w:rPr>
        <w:t xml:space="preserve"> </w:t>
      </w:r>
      <w:r>
        <w:rPr>
          <w:sz w:val="24"/>
          <w:u w:val="single"/>
        </w:rPr>
        <w:t>sostenibilidad</w:t>
      </w:r>
      <w:r>
        <w:rPr>
          <w:sz w:val="24"/>
        </w:rPr>
        <w:t>, continúa vigente lo indicado en el comunicado conjunto anterior. Se</w:t>
      </w:r>
      <w:r>
        <w:rPr>
          <w:spacing w:val="-1"/>
          <w:sz w:val="24"/>
        </w:rPr>
        <w:t xml:space="preserve"> </w:t>
      </w:r>
      <w:r>
        <w:rPr>
          <w:sz w:val="24"/>
        </w:rPr>
        <w:lastRenderedPageBreak/>
        <w:t>recomienda</w:t>
      </w:r>
      <w:r>
        <w:rPr>
          <w:spacing w:val="-1"/>
          <w:sz w:val="24"/>
        </w:rPr>
        <w:t xml:space="preserve"> </w:t>
      </w:r>
      <w:r>
        <w:rPr>
          <w:sz w:val="24"/>
        </w:rPr>
        <w:t>que</w:t>
      </w:r>
      <w:r>
        <w:rPr>
          <w:spacing w:val="-2"/>
          <w:sz w:val="24"/>
        </w:rPr>
        <w:t xml:space="preserve"> </w:t>
      </w:r>
      <w:r>
        <w:rPr>
          <w:sz w:val="24"/>
        </w:rPr>
        <w:t>se</w:t>
      </w:r>
      <w:r>
        <w:rPr>
          <w:spacing w:val="-1"/>
          <w:sz w:val="24"/>
        </w:rPr>
        <w:t xml:space="preserve"> </w:t>
      </w:r>
      <w:r>
        <w:rPr>
          <w:sz w:val="24"/>
        </w:rPr>
        <w:t>tenga</w:t>
      </w:r>
      <w:r>
        <w:rPr>
          <w:spacing w:val="-2"/>
          <w:sz w:val="24"/>
        </w:rPr>
        <w:t xml:space="preserve"> </w:t>
      </w:r>
      <w:r>
        <w:rPr>
          <w:sz w:val="24"/>
        </w:rPr>
        <w:t>en</w:t>
      </w:r>
      <w:r>
        <w:rPr>
          <w:spacing w:val="-2"/>
          <w:sz w:val="24"/>
        </w:rPr>
        <w:t xml:space="preserve"> </w:t>
      </w:r>
      <w:r>
        <w:rPr>
          <w:sz w:val="24"/>
        </w:rPr>
        <w:t>cuenta</w:t>
      </w:r>
      <w:r>
        <w:rPr>
          <w:spacing w:val="-2"/>
          <w:sz w:val="24"/>
        </w:rPr>
        <w:t xml:space="preserve"> </w:t>
      </w:r>
      <w:r>
        <w:rPr>
          <w:sz w:val="24"/>
        </w:rPr>
        <w:t>el</w:t>
      </w:r>
      <w:r>
        <w:rPr>
          <w:spacing w:val="-1"/>
          <w:sz w:val="24"/>
        </w:rPr>
        <w:t xml:space="preserve"> </w:t>
      </w:r>
      <w:r>
        <w:rPr>
          <w:sz w:val="24"/>
        </w:rPr>
        <w:t>texto</w:t>
      </w:r>
      <w:r>
        <w:rPr>
          <w:spacing w:val="-1"/>
          <w:sz w:val="24"/>
        </w:rPr>
        <w:t xml:space="preserve"> </w:t>
      </w:r>
      <w:r>
        <w:rPr>
          <w:sz w:val="24"/>
        </w:rPr>
        <w:t>de</w:t>
      </w:r>
      <w:r>
        <w:rPr>
          <w:spacing w:val="-1"/>
          <w:sz w:val="24"/>
        </w:rPr>
        <w:t xml:space="preserve"> </w:t>
      </w:r>
      <w:r>
        <w:rPr>
          <w:sz w:val="24"/>
        </w:rPr>
        <w:t>la</w:t>
      </w:r>
      <w:r>
        <w:rPr>
          <w:spacing w:val="-2"/>
          <w:sz w:val="24"/>
        </w:rPr>
        <w:t xml:space="preserve"> </w:t>
      </w:r>
      <w:r>
        <w:rPr>
          <w:sz w:val="24"/>
        </w:rPr>
        <w:t>norma</w:t>
      </w:r>
      <w:r>
        <w:rPr>
          <w:spacing w:val="-3"/>
          <w:sz w:val="24"/>
        </w:rPr>
        <w:t xml:space="preserve"> </w:t>
      </w:r>
      <w:r>
        <w:rPr>
          <w:sz w:val="24"/>
        </w:rPr>
        <w:t>técnica de</w:t>
      </w:r>
      <w:r>
        <w:rPr>
          <w:spacing w:val="-1"/>
          <w:sz w:val="24"/>
        </w:rPr>
        <w:t xml:space="preserve"> </w:t>
      </w:r>
      <w:r>
        <w:rPr>
          <w:sz w:val="24"/>
        </w:rPr>
        <w:t>verificación (no aprobada) publicada por el ICAC en diciembre de 2024, las directrices publicadas por COESA y la ISSA 5000.</w:t>
      </w:r>
    </w:p>
    <w:sectPr w:rsidR="006D28A6">
      <w:pgSz w:w="11910" w:h="16840"/>
      <w:pgMar w:top="900" w:right="708" w:bottom="1040" w:left="1700" w:header="0" w:footer="8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E9DE6" w14:textId="77777777" w:rsidR="00B7072A" w:rsidRDefault="00B7072A">
      <w:r>
        <w:separator/>
      </w:r>
    </w:p>
  </w:endnote>
  <w:endnote w:type="continuationSeparator" w:id="0">
    <w:p w14:paraId="6161F200" w14:textId="77777777" w:rsidR="00B7072A" w:rsidRDefault="00B70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leste-Regular">
    <w:altName w:val="Calibri"/>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yriad Pro Light">
    <w:altName w:val="Segoe UI Light"/>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F78B6" w14:textId="77777777" w:rsidR="006D28A6" w:rsidRDefault="00A90500">
    <w:pPr>
      <w:pStyle w:val="Textoindependiente"/>
      <w:spacing w:line="14" w:lineRule="auto"/>
      <w:jc w:val="left"/>
      <w:rPr>
        <w:sz w:val="20"/>
      </w:rPr>
    </w:pPr>
    <w:r>
      <w:rPr>
        <w:noProof/>
        <w:sz w:val="20"/>
      </w:rPr>
      <mc:AlternateContent>
        <mc:Choice Requires="wps">
          <w:drawing>
            <wp:anchor distT="0" distB="0" distL="0" distR="0" simplePos="0" relativeHeight="487496704" behindDoc="1" locked="0" layoutInCell="1" allowOverlap="1" wp14:anchorId="484F61E5" wp14:editId="286B712C">
              <wp:simplePos x="0" y="0"/>
              <wp:positionH relativeFrom="page">
                <wp:posOffset>1607566</wp:posOffset>
              </wp:positionH>
              <wp:positionV relativeFrom="page">
                <wp:posOffset>10017582</wp:posOffset>
              </wp:positionV>
              <wp:extent cx="5256530" cy="1276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56530" cy="127635"/>
                      </a:xfrm>
                      <a:prstGeom prst="rect">
                        <a:avLst/>
                      </a:prstGeom>
                    </wps:spPr>
                    <wps:txbx>
                      <w:txbxContent>
                        <w:p w14:paraId="76E243DE" w14:textId="77777777" w:rsidR="006D28A6" w:rsidRDefault="00A90500">
                          <w:pPr>
                            <w:spacing w:line="181" w:lineRule="exact"/>
                            <w:ind w:left="20"/>
                            <w:rPr>
                              <w:rFonts w:ascii="Myriad Pro Light" w:hAnsi="Myriad Pro Light"/>
                              <w:sz w:val="16"/>
                            </w:rPr>
                          </w:pPr>
                          <w:r>
                            <w:rPr>
                              <w:rFonts w:ascii="Myriad Pro Light" w:hAnsi="Myriad Pro Light"/>
                              <w:color w:val="AC2044"/>
                              <w:w w:val="105"/>
                              <w:sz w:val="16"/>
                            </w:rPr>
                            <w:t>COMUNICADO</w:t>
                          </w:r>
                          <w:r>
                            <w:rPr>
                              <w:rFonts w:ascii="Myriad Pro Light" w:hAnsi="Myriad Pro Light"/>
                              <w:color w:val="AC2044"/>
                              <w:spacing w:val="19"/>
                              <w:w w:val="105"/>
                              <w:sz w:val="16"/>
                            </w:rPr>
                            <w:t xml:space="preserve"> </w:t>
                          </w:r>
                          <w:r>
                            <w:rPr>
                              <w:rFonts w:ascii="Myriad Pro Light" w:hAnsi="Myriad Pro Light"/>
                              <w:color w:val="AC2044"/>
                              <w:w w:val="105"/>
                              <w:sz w:val="16"/>
                            </w:rPr>
                            <w:t>CONJUNTO</w:t>
                          </w:r>
                          <w:r>
                            <w:rPr>
                              <w:rFonts w:ascii="Myriad Pro Light" w:hAnsi="Myriad Pro Light"/>
                              <w:color w:val="AC2044"/>
                              <w:spacing w:val="23"/>
                              <w:w w:val="105"/>
                              <w:sz w:val="16"/>
                            </w:rPr>
                            <w:t xml:space="preserve"> </w:t>
                          </w:r>
                          <w:r>
                            <w:rPr>
                              <w:rFonts w:ascii="Myriad Pro Light" w:hAnsi="Myriad Pro Light"/>
                              <w:color w:val="AC2044"/>
                              <w:w w:val="105"/>
                              <w:sz w:val="16"/>
                            </w:rPr>
                            <w:t>SOBRE</w:t>
                          </w:r>
                          <w:r>
                            <w:rPr>
                              <w:rFonts w:ascii="Myriad Pro Light" w:hAnsi="Myriad Pro Light"/>
                              <w:color w:val="AC2044"/>
                              <w:spacing w:val="15"/>
                              <w:w w:val="105"/>
                              <w:sz w:val="16"/>
                            </w:rPr>
                            <w:t xml:space="preserve"> </w:t>
                          </w:r>
                          <w:r>
                            <w:rPr>
                              <w:rFonts w:ascii="Myriad Pro Light" w:hAnsi="Myriad Pro Light"/>
                              <w:color w:val="AC2044"/>
                              <w:w w:val="105"/>
                              <w:sz w:val="16"/>
                            </w:rPr>
                            <w:t>LA</w:t>
                          </w:r>
                          <w:r>
                            <w:rPr>
                              <w:rFonts w:ascii="Myriad Pro Light" w:hAnsi="Myriad Pro Light"/>
                              <w:color w:val="AC2044"/>
                              <w:spacing w:val="19"/>
                              <w:w w:val="105"/>
                              <w:sz w:val="16"/>
                            </w:rPr>
                            <w:t xml:space="preserve"> </w:t>
                          </w:r>
                          <w:r>
                            <w:rPr>
                              <w:rFonts w:ascii="Myriad Pro Light" w:hAnsi="Myriad Pro Light"/>
                              <w:color w:val="AC2044"/>
                              <w:w w:val="105"/>
                              <w:sz w:val="16"/>
                            </w:rPr>
                            <w:t>TRANSPOSICIÓN</w:t>
                          </w:r>
                          <w:r>
                            <w:rPr>
                              <w:rFonts w:ascii="Myriad Pro Light" w:hAnsi="Myriad Pro Light"/>
                              <w:color w:val="AC2044"/>
                              <w:spacing w:val="19"/>
                              <w:w w:val="105"/>
                              <w:sz w:val="16"/>
                            </w:rPr>
                            <w:t xml:space="preserve"> </w:t>
                          </w:r>
                          <w:r>
                            <w:rPr>
                              <w:rFonts w:ascii="Myriad Pro Light" w:hAnsi="Myriad Pro Light"/>
                              <w:color w:val="AC2044"/>
                              <w:w w:val="105"/>
                              <w:sz w:val="16"/>
                            </w:rPr>
                            <w:t>DE</w:t>
                          </w:r>
                          <w:r>
                            <w:rPr>
                              <w:rFonts w:ascii="Myriad Pro Light" w:hAnsi="Myriad Pro Light"/>
                              <w:color w:val="AC2044"/>
                              <w:spacing w:val="20"/>
                              <w:w w:val="105"/>
                              <w:sz w:val="16"/>
                            </w:rPr>
                            <w:t xml:space="preserve"> </w:t>
                          </w:r>
                          <w:r>
                            <w:rPr>
                              <w:rFonts w:ascii="Myriad Pro Light" w:hAnsi="Myriad Pro Light"/>
                              <w:color w:val="AC2044"/>
                              <w:w w:val="105"/>
                              <w:sz w:val="16"/>
                            </w:rPr>
                            <w:t>LA</w:t>
                          </w:r>
                          <w:r>
                            <w:rPr>
                              <w:rFonts w:ascii="Myriad Pro Light" w:hAnsi="Myriad Pro Light"/>
                              <w:color w:val="AC2044"/>
                              <w:spacing w:val="16"/>
                              <w:w w:val="105"/>
                              <w:sz w:val="16"/>
                            </w:rPr>
                            <w:t xml:space="preserve"> </w:t>
                          </w:r>
                          <w:r>
                            <w:rPr>
                              <w:rFonts w:ascii="Myriad Pro Light" w:hAnsi="Myriad Pro Light"/>
                              <w:color w:val="AC2044"/>
                              <w:w w:val="105"/>
                              <w:sz w:val="16"/>
                            </w:rPr>
                            <w:t>DIRECTIVA</w:t>
                          </w:r>
                          <w:r>
                            <w:rPr>
                              <w:rFonts w:ascii="Myriad Pro Light" w:hAnsi="Myriad Pro Light"/>
                              <w:color w:val="AC2044"/>
                              <w:spacing w:val="19"/>
                              <w:w w:val="105"/>
                              <w:sz w:val="16"/>
                            </w:rPr>
                            <w:t xml:space="preserve"> </w:t>
                          </w:r>
                          <w:r>
                            <w:rPr>
                              <w:rFonts w:ascii="Myriad Pro Light" w:hAnsi="Myriad Pro Light"/>
                              <w:color w:val="AC2044"/>
                              <w:w w:val="105"/>
                              <w:sz w:val="16"/>
                            </w:rPr>
                            <w:t>CSRD</w:t>
                          </w:r>
                          <w:r>
                            <w:rPr>
                              <w:rFonts w:ascii="Myriad Pro Light" w:hAnsi="Myriad Pro Light"/>
                              <w:color w:val="AC2044"/>
                              <w:spacing w:val="16"/>
                              <w:w w:val="105"/>
                              <w:sz w:val="16"/>
                            </w:rPr>
                            <w:t xml:space="preserve"> </w:t>
                          </w:r>
                          <w:r>
                            <w:rPr>
                              <w:rFonts w:ascii="Myriad Pro Light" w:hAnsi="Myriad Pro Light"/>
                              <w:color w:val="AC2044"/>
                              <w:w w:val="105"/>
                              <w:sz w:val="16"/>
                            </w:rPr>
                            <w:t>AL</w:t>
                          </w:r>
                          <w:r>
                            <w:rPr>
                              <w:rFonts w:ascii="Myriad Pro Light" w:hAnsi="Myriad Pro Light"/>
                              <w:color w:val="AC2044"/>
                              <w:spacing w:val="19"/>
                              <w:w w:val="105"/>
                              <w:sz w:val="16"/>
                            </w:rPr>
                            <w:t xml:space="preserve"> </w:t>
                          </w:r>
                          <w:r>
                            <w:rPr>
                              <w:rFonts w:ascii="Myriad Pro Light" w:hAnsi="Myriad Pro Light"/>
                              <w:color w:val="AC2044"/>
                              <w:w w:val="105"/>
                              <w:sz w:val="16"/>
                            </w:rPr>
                            <w:t>ORDENAMIENTO</w:t>
                          </w:r>
                          <w:r>
                            <w:rPr>
                              <w:rFonts w:ascii="Myriad Pro Light" w:hAnsi="Myriad Pro Light"/>
                              <w:color w:val="AC2044"/>
                              <w:spacing w:val="17"/>
                              <w:w w:val="105"/>
                              <w:sz w:val="16"/>
                            </w:rPr>
                            <w:t xml:space="preserve"> </w:t>
                          </w:r>
                          <w:r>
                            <w:rPr>
                              <w:rFonts w:ascii="Myriad Pro Light" w:hAnsi="Myriad Pro Light"/>
                              <w:color w:val="AC2044"/>
                              <w:w w:val="105"/>
                              <w:sz w:val="16"/>
                            </w:rPr>
                            <w:t>JURÍDICO</w:t>
                          </w:r>
                          <w:r>
                            <w:rPr>
                              <w:rFonts w:ascii="Myriad Pro Light" w:hAnsi="Myriad Pro Light"/>
                              <w:color w:val="AC2044"/>
                              <w:spacing w:val="21"/>
                              <w:w w:val="105"/>
                              <w:sz w:val="16"/>
                            </w:rPr>
                            <w:t xml:space="preserve"> </w:t>
                          </w:r>
                          <w:r>
                            <w:rPr>
                              <w:rFonts w:ascii="Myriad Pro Light" w:hAnsi="Myriad Pro Light"/>
                              <w:color w:val="AC2044"/>
                              <w:spacing w:val="-2"/>
                              <w:w w:val="105"/>
                              <w:sz w:val="16"/>
                            </w:rPr>
                            <w:t>ESPAÑOL</w:t>
                          </w:r>
                        </w:p>
                      </w:txbxContent>
                    </wps:txbx>
                    <wps:bodyPr wrap="square" lIns="0" tIns="0" rIns="0" bIns="0" rtlCol="0">
                      <a:noAutofit/>
                    </wps:bodyPr>
                  </wps:wsp>
                </a:graphicData>
              </a:graphic>
            </wp:anchor>
          </w:drawing>
        </mc:Choice>
        <mc:Fallback>
          <w:pict>
            <v:shapetype w14:anchorId="484F61E5" id="_x0000_t202" coordsize="21600,21600" o:spt="202" path="m,l,21600r21600,l21600,xe">
              <v:stroke joinstyle="miter"/>
              <v:path gradientshapeok="t" o:connecttype="rect"/>
            </v:shapetype>
            <v:shape id="Textbox 1" o:spid="_x0000_s1027" type="#_x0000_t202" style="position:absolute;margin-left:126.6pt;margin-top:788.8pt;width:413.9pt;height:10.05pt;z-index:-1581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" filled="f" stroked="f">
              <v:textbox inset="0,0,0,0">
                <w:txbxContent>
                  <w:p w14:paraId="76E243DE" w14:textId="77777777" w:rsidR="006D28A6" w:rsidRDefault="00A90500">
                    <w:pPr>
                      <w:spacing w:line="181" w:lineRule="exact"/>
                      <w:ind w:left="20"/>
                      <w:rPr>
                        <w:rFonts w:ascii="Myriad Pro Light" w:hAnsi="Myriad Pro Light"/>
                        <w:sz w:val="16"/>
                      </w:rPr>
                    </w:pPr>
                    <w:r>
                      <w:rPr>
                        <w:rFonts w:ascii="Myriad Pro Light" w:hAnsi="Myriad Pro Light"/>
                        <w:color w:val="AC2044"/>
                        <w:w w:val="105"/>
                        <w:sz w:val="16"/>
                      </w:rPr>
                      <w:t>COMUNICADO</w:t>
                    </w:r>
                    <w:r>
                      <w:rPr>
                        <w:rFonts w:ascii="Myriad Pro Light" w:hAnsi="Myriad Pro Light"/>
                        <w:color w:val="AC2044"/>
                        <w:spacing w:val="19"/>
                        <w:w w:val="105"/>
                        <w:sz w:val="16"/>
                      </w:rPr>
                      <w:t xml:space="preserve"> </w:t>
                    </w:r>
                    <w:r>
                      <w:rPr>
                        <w:rFonts w:ascii="Myriad Pro Light" w:hAnsi="Myriad Pro Light"/>
                        <w:color w:val="AC2044"/>
                        <w:w w:val="105"/>
                        <w:sz w:val="16"/>
                      </w:rPr>
                      <w:t>CONJUNTO</w:t>
                    </w:r>
                    <w:r>
                      <w:rPr>
                        <w:rFonts w:ascii="Myriad Pro Light" w:hAnsi="Myriad Pro Light"/>
                        <w:color w:val="AC2044"/>
                        <w:spacing w:val="23"/>
                        <w:w w:val="105"/>
                        <w:sz w:val="16"/>
                      </w:rPr>
                      <w:t xml:space="preserve"> </w:t>
                    </w:r>
                    <w:r>
                      <w:rPr>
                        <w:rFonts w:ascii="Myriad Pro Light" w:hAnsi="Myriad Pro Light"/>
                        <w:color w:val="AC2044"/>
                        <w:w w:val="105"/>
                        <w:sz w:val="16"/>
                      </w:rPr>
                      <w:t>SOBRE</w:t>
                    </w:r>
                    <w:r>
                      <w:rPr>
                        <w:rFonts w:ascii="Myriad Pro Light" w:hAnsi="Myriad Pro Light"/>
                        <w:color w:val="AC2044"/>
                        <w:spacing w:val="15"/>
                        <w:w w:val="105"/>
                        <w:sz w:val="16"/>
                      </w:rPr>
                      <w:t xml:space="preserve"> </w:t>
                    </w:r>
                    <w:r>
                      <w:rPr>
                        <w:rFonts w:ascii="Myriad Pro Light" w:hAnsi="Myriad Pro Light"/>
                        <w:color w:val="AC2044"/>
                        <w:w w:val="105"/>
                        <w:sz w:val="16"/>
                      </w:rPr>
                      <w:t>LA</w:t>
                    </w:r>
                    <w:r>
                      <w:rPr>
                        <w:rFonts w:ascii="Myriad Pro Light" w:hAnsi="Myriad Pro Light"/>
                        <w:color w:val="AC2044"/>
                        <w:spacing w:val="19"/>
                        <w:w w:val="105"/>
                        <w:sz w:val="16"/>
                      </w:rPr>
                      <w:t xml:space="preserve"> </w:t>
                    </w:r>
                    <w:r>
                      <w:rPr>
                        <w:rFonts w:ascii="Myriad Pro Light" w:hAnsi="Myriad Pro Light"/>
                        <w:color w:val="AC2044"/>
                        <w:w w:val="105"/>
                        <w:sz w:val="16"/>
                      </w:rPr>
                      <w:t>TRANSPOSICIÓN</w:t>
                    </w:r>
                    <w:r>
                      <w:rPr>
                        <w:rFonts w:ascii="Myriad Pro Light" w:hAnsi="Myriad Pro Light"/>
                        <w:color w:val="AC2044"/>
                        <w:spacing w:val="19"/>
                        <w:w w:val="105"/>
                        <w:sz w:val="16"/>
                      </w:rPr>
                      <w:t xml:space="preserve"> </w:t>
                    </w:r>
                    <w:r>
                      <w:rPr>
                        <w:rFonts w:ascii="Myriad Pro Light" w:hAnsi="Myriad Pro Light"/>
                        <w:color w:val="AC2044"/>
                        <w:w w:val="105"/>
                        <w:sz w:val="16"/>
                      </w:rPr>
                      <w:t>DE</w:t>
                    </w:r>
                    <w:r>
                      <w:rPr>
                        <w:rFonts w:ascii="Myriad Pro Light" w:hAnsi="Myriad Pro Light"/>
                        <w:color w:val="AC2044"/>
                        <w:spacing w:val="20"/>
                        <w:w w:val="105"/>
                        <w:sz w:val="16"/>
                      </w:rPr>
                      <w:t xml:space="preserve"> </w:t>
                    </w:r>
                    <w:r>
                      <w:rPr>
                        <w:rFonts w:ascii="Myriad Pro Light" w:hAnsi="Myriad Pro Light"/>
                        <w:color w:val="AC2044"/>
                        <w:w w:val="105"/>
                        <w:sz w:val="16"/>
                      </w:rPr>
                      <w:t>LA</w:t>
                    </w:r>
                    <w:r>
                      <w:rPr>
                        <w:rFonts w:ascii="Myriad Pro Light" w:hAnsi="Myriad Pro Light"/>
                        <w:color w:val="AC2044"/>
                        <w:spacing w:val="16"/>
                        <w:w w:val="105"/>
                        <w:sz w:val="16"/>
                      </w:rPr>
                      <w:t xml:space="preserve"> </w:t>
                    </w:r>
                    <w:r>
                      <w:rPr>
                        <w:rFonts w:ascii="Myriad Pro Light" w:hAnsi="Myriad Pro Light"/>
                        <w:color w:val="AC2044"/>
                        <w:w w:val="105"/>
                        <w:sz w:val="16"/>
                      </w:rPr>
                      <w:t>DIRECTIVA</w:t>
                    </w:r>
                    <w:r>
                      <w:rPr>
                        <w:rFonts w:ascii="Myriad Pro Light" w:hAnsi="Myriad Pro Light"/>
                        <w:color w:val="AC2044"/>
                        <w:spacing w:val="19"/>
                        <w:w w:val="105"/>
                        <w:sz w:val="16"/>
                      </w:rPr>
                      <w:t xml:space="preserve"> </w:t>
                    </w:r>
                    <w:r>
                      <w:rPr>
                        <w:rFonts w:ascii="Myriad Pro Light" w:hAnsi="Myriad Pro Light"/>
                        <w:color w:val="AC2044"/>
                        <w:w w:val="105"/>
                        <w:sz w:val="16"/>
                      </w:rPr>
                      <w:t>CSRD</w:t>
                    </w:r>
                    <w:r>
                      <w:rPr>
                        <w:rFonts w:ascii="Myriad Pro Light" w:hAnsi="Myriad Pro Light"/>
                        <w:color w:val="AC2044"/>
                        <w:spacing w:val="16"/>
                        <w:w w:val="105"/>
                        <w:sz w:val="16"/>
                      </w:rPr>
                      <w:t xml:space="preserve"> </w:t>
                    </w:r>
                    <w:r>
                      <w:rPr>
                        <w:rFonts w:ascii="Myriad Pro Light" w:hAnsi="Myriad Pro Light"/>
                        <w:color w:val="AC2044"/>
                        <w:w w:val="105"/>
                        <w:sz w:val="16"/>
                      </w:rPr>
                      <w:t>AL</w:t>
                    </w:r>
                    <w:r>
                      <w:rPr>
                        <w:rFonts w:ascii="Myriad Pro Light" w:hAnsi="Myriad Pro Light"/>
                        <w:color w:val="AC2044"/>
                        <w:spacing w:val="19"/>
                        <w:w w:val="105"/>
                        <w:sz w:val="16"/>
                      </w:rPr>
                      <w:t xml:space="preserve"> </w:t>
                    </w:r>
                    <w:r>
                      <w:rPr>
                        <w:rFonts w:ascii="Myriad Pro Light" w:hAnsi="Myriad Pro Light"/>
                        <w:color w:val="AC2044"/>
                        <w:w w:val="105"/>
                        <w:sz w:val="16"/>
                      </w:rPr>
                      <w:t>ORDENAMIENTO</w:t>
                    </w:r>
                    <w:r>
                      <w:rPr>
                        <w:rFonts w:ascii="Myriad Pro Light" w:hAnsi="Myriad Pro Light"/>
                        <w:color w:val="AC2044"/>
                        <w:spacing w:val="17"/>
                        <w:w w:val="105"/>
                        <w:sz w:val="16"/>
                      </w:rPr>
                      <w:t xml:space="preserve"> </w:t>
                    </w:r>
                    <w:r>
                      <w:rPr>
                        <w:rFonts w:ascii="Myriad Pro Light" w:hAnsi="Myriad Pro Light"/>
                        <w:color w:val="AC2044"/>
                        <w:w w:val="105"/>
                        <w:sz w:val="16"/>
                      </w:rPr>
                      <w:t>JURÍDICO</w:t>
                    </w:r>
                    <w:r>
                      <w:rPr>
                        <w:rFonts w:ascii="Myriad Pro Light" w:hAnsi="Myriad Pro Light"/>
                        <w:color w:val="AC2044"/>
                        <w:spacing w:val="21"/>
                        <w:w w:val="105"/>
                        <w:sz w:val="16"/>
                      </w:rPr>
                      <w:t xml:space="preserve"> </w:t>
                    </w:r>
                    <w:r>
                      <w:rPr>
                        <w:rFonts w:ascii="Myriad Pro Light" w:hAnsi="Myriad Pro Light"/>
                        <w:color w:val="AC2044"/>
                        <w:spacing w:val="-2"/>
                        <w:w w:val="105"/>
                        <w:sz w:val="16"/>
                      </w:rPr>
                      <w:t>ESPAÑOL</w:t>
                    </w:r>
                  </w:p>
                </w:txbxContent>
              </v:textbox>
              <w10:wrap anchorx="page" anchory="page"/>
            </v:shape>
          </w:pict>
        </mc:Fallback>
      </mc:AlternateContent>
    </w:r>
    <w:r>
      <w:rPr>
        <w:noProof/>
        <w:sz w:val="20"/>
      </w:rPr>
      <mc:AlternateContent>
        <mc:Choice Requires="wps">
          <w:drawing>
            <wp:anchor distT="0" distB="0" distL="0" distR="0" simplePos="0" relativeHeight="487497216" behindDoc="1" locked="0" layoutInCell="1" allowOverlap="1" wp14:anchorId="3CE17CCD" wp14:editId="317D99D1">
              <wp:simplePos x="0" y="0"/>
              <wp:positionH relativeFrom="page">
                <wp:posOffset>1582166</wp:posOffset>
              </wp:positionH>
              <wp:positionV relativeFrom="page">
                <wp:posOffset>10301427</wp:posOffset>
              </wp:positionV>
              <wp:extent cx="240665"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665" cy="165735"/>
                      </a:xfrm>
                      <a:prstGeom prst="rect">
                        <a:avLst/>
                      </a:prstGeom>
                    </wps:spPr>
                    <wps:txbx>
                      <w:txbxContent>
                        <w:p w14:paraId="386B74F1" w14:textId="77777777" w:rsidR="006D28A6" w:rsidRDefault="00A90500">
                          <w:pPr>
                            <w:spacing w:line="241" w:lineRule="exact"/>
                            <w:ind w:left="60"/>
                            <w:rPr>
                              <w:rFonts w:ascii="Myriad Pro Light"/>
                            </w:rPr>
                          </w:pPr>
                          <w:r>
                            <w:rPr>
                              <w:rFonts w:ascii="Myriad Pro Light"/>
                              <w:color w:val="AC2044"/>
                              <w:spacing w:val="-5"/>
                              <w:w w:val="105"/>
                            </w:rPr>
                            <w:fldChar w:fldCharType="begin"/>
                          </w:r>
                          <w:r>
                            <w:rPr>
                              <w:rFonts w:ascii="Myriad Pro Light"/>
                              <w:color w:val="AC2044"/>
                              <w:spacing w:val="-5"/>
                              <w:w w:val="105"/>
                            </w:rPr>
                            <w:instrText xml:space="preserve"> PAGE </w:instrText>
                          </w:r>
                          <w:r>
                            <w:rPr>
                              <w:rFonts w:ascii="Myriad Pro Light"/>
                              <w:color w:val="AC2044"/>
                              <w:spacing w:val="-5"/>
                              <w:w w:val="105"/>
                            </w:rPr>
                            <w:fldChar w:fldCharType="separate"/>
                          </w:r>
                          <w:r>
                            <w:rPr>
                              <w:rFonts w:ascii="Myriad Pro Light"/>
                              <w:color w:val="AC2044"/>
                              <w:spacing w:val="-5"/>
                              <w:w w:val="105"/>
                            </w:rPr>
                            <w:t>1</w:t>
                          </w:r>
                          <w:r>
                            <w:rPr>
                              <w:rFonts w:ascii="Myriad Pro Light"/>
                              <w:color w:val="AC2044"/>
                              <w:spacing w:val="-5"/>
                              <w:w w:val="105"/>
                            </w:rPr>
                            <w:fldChar w:fldCharType="end"/>
                          </w:r>
                          <w:r>
                            <w:rPr>
                              <w:rFonts w:ascii="Myriad Pro Light"/>
                              <w:color w:val="AC2044"/>
                              <w:spacing w:val="-5"/>
                              <w:w w:val="105"/>
                            </w:rPr>
                            <w:t>/</w:t>
                          </w:r>
                          <w:r>
                            <w:rPr>
                              <w:rFonts w:ascii="Myriad Pro Light"/>
                              <w:color w:val="AC2044"/>
                              <w:spacing w:val="-5"/>
                              <w:w w:val="105"/>
                            </w:rPr>
                            <w:fldChar w:fldCharType="begin"/>
                          </w:r>
                          <w:r>
                            <w:rPr>
                              <w:rFonts w:ascii="Myriad Pro Light"/>
                              <w:color w:val="AC2044"/>
                              <w:spacing w:val="-5"/>
                              <w:w w:val="105"/>
                            </w:rPr>
                            <w:instrText xml:space="preserve"> NUMPAGES </w:instrText>
                          </w:r>
                          <w:r>
                            <w:rPr>
                              <w:rFonts w:ascii="Myriad Pro Light"/>
                              <w:color w:val="AC2044"/>
                              <w:spacing w:val="-5"/>
                              <w:w w:val="105"/>
                            </w:rPr>
                            <w:fldChar w:fldCharType="separate"/>
                          </w:r>
                          <w:r>
                            <w:rPr>
                              <w:rFonts w:ascii="Myriad Pro Light"/>
                              <w:color w:val="AC2044"/>
                              <w:spacing w:val="-5"/>
                              <w:w w:val="105"/>
                            </w:rPr>
                            <w:t>4</w:t>
                          </w:r>
                          <w:r>
                            <w:rPr>
                              <w:rFonts w:ascii="Myriad Pro Light"/>
                              <w:color w:val="AC2044"/>
                              <w:spacing w:val="-5"/>
                              <w:w w:val="105"/>
                            </w:rPr>
                            <w:fldChar w:fldCharType="end"/>
                          </w:r>
                        </w:p>
                      </w:txbxContent>
                    </wps:txbx>
                    <wps:bodyPr wrap="square" lIns="0" tIns="0" rIns="0" bIns="0" rtlCol="0">
                      <a:noAutofit/>
                    </wps:bodyPr>
                  </wps:wsp>
                </a:graphicData>
              </a:graphic>
            </wp:anchor>
          </w:drawing>
        </mc:Choice>
        <mc:Fallback>
          <w:pict>
            <v:shape w14:anchorId="3CE17CCD" id="Textbox 2" o:spid="_x0000_s1028" type="#_x0000_t202" style="position:absolute;margin-left:124.6pt;margin-top:811.15pt;width:18.95pt;height:13.05pt;z-index:-1581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" filled="f" stroked="f">
              <v:textbox inset="0,0,0,0">
                <w:txbxContent>
                  <w:p w14:paraId="386B74F1" w14:textId="77777777" w:rsidR="006D28A6" w:rsidRDefault="00A90500">
                    <w:pPr>
                      <w:spacing w:line="241" w:lineRule="exact"/>
                      <w:ind w:left="60"/>
                      <w:rPr>
                        <w:rFonts w:ascii="Myriad Pro Light"/>
                      </w:rPr>
                    </w:pPr>
                    <w:r>
                      <w:rPr>
                        <w:rFonts w:ascii="Myriad Pro Light"/>
                        <w:color w:val="AC2044"/>
                        <w:spacing w:val="-5"/>
                        <w:w w:val="105"/>
                      </w:rPr>
                      <w:fldChar w:fldCharType="begin"/>
                    </w:r>
                    <w:r>
                      <w:rPr>
                        <w:rFonts w:ascii="Myriad Pro Light"/>
                        <w:color w:val="AC2044"/>
                        <w:spacing w:val="-5"/>
                        <w:w w:val="105"/>
                      </w:rPr>
                      <w:instrText xml:space="preserve"> PAGE </w:instrText>
                    </w:r>
                    <w:r>
                      <w:rPr>
                        <w:rFonts w:ascii="Myriad Pro Light"/>
                        <w:color w:val="AC2044"/>
                        <w:spacing w:val="-5"/>
                        <w:w w:val="105"/>
                      </w:rPr>
                      <w:fldChar w:fldCharType="separate"/>
                    </w:r>
                    <w:r>
                      <w:rPr>
                        <w:rFonts w:ascii="Myriad Pro Light"/>
                        <w:color w:val="AC2044"/>
                        <w:spacing w:val="-5"/>
                        <w:w w:val="105"/>
                      </w:rPr>
                      <w:t>1</w:t>
                    </w:r>
                    <w:r>
                      <w:rPr>
                        <w:rFonts w:ascii="Myriad Pro Light"/>
                        <w:color w:val="AC2044"/>
                        <w:spacing w:val="-5"/>
                        <w:w w:val="105"/>
                      </w:rPr>
                      <w:fldChar w:fldCharType="end"/>
                    </w:r>
                    <w:r>
                      <w:rPr>
                        <w:rFonts w:ascii="Myriad Pro Light"/>
                        <w:color w:val="AC2044"/>
                        <w:spacing w:val="-5"/>
                        <w:w w:val="105"/>
                      </w:rPr>
                      <w:t>/</w:t>
                    </w:r>
                    <w:r>
                      <w:rPr>
                        <w:rFonts w:ascii="Myriad Pro Light"/>
                        <w:color w:val="AC2044"/>
                        <w:spacing w:val="-5"/>
                        <w:w w:val="105"/>
                      </w:rPr>
                      <w:fldChar w:fldCharType="begin"/>
                    </w:r>
                    <w:r>
                      <w:rPr>
                        <w:rFonts w:ascii="Myriad Pro Light"/>
                        <w:color w:val="AC2044"/>
                        <w:spacing w:val="-5"/>
                        <w:w w:val="105"/>
                      </w:rPr>
                      <w:instrText xml:space="preserve"> NUMPAGES </w:instrText>
                    </w:r>
                    <w:r>
                      <w:rPr>
                        <w:rFonts w:ascii="Myriad Pro Light"/>
                        <w:color w:val="AC2044"/>
                        <w:spacing w:val="-5"/>
                        <w:w w:val="105"/>
                      </w:rPr>
                      <w:fldChar w:fldCharType="separate"/>
                    </w:r>
                    <w:r>
                      <w:rPr>
                        <w:rFonts w:ascii="Myriad Pro Light"/>
                        <w:color w:val="AC2044"/>
                        <w:spacing w:val="-5"/>
                        <w:w w:val="105"/>
                      </w:rPr>
                      <w:t>4</w:t>
                    </w:r>
                    <w:r>
                      <w:rPr>
                        <w:rFonts w:ascii="Myriad Pro Light"/>
                        <w:color w:val="AC2044"/>
                        <w:spacing w:val="-5"/>
                        <w:w w:val="10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D05CC" w14:textId="77777777" w:rsidR="00B7072A" w:rsidRDefault="00B7072A">
      <w:r>
        <w:separator/>
      </w:r>
    </w:p>
  </w:footnote>
  <w:footnote w:type="continuationSeparator" w:id="0">
    <w:p w14:paraId="3452F165" w14:textId="77777777" w:rsidR="00B7072A" w:rsidRDefault="00B7072A">
      <w:r>
        <w:continuationSeparator/>
      </w:r>
    </w:p>
  </w:footnote>
  <w:footnote w:id="1">
    <w:p w14:paraId="6156B325" w14:textId="77777777" w:rsidR="0069375A" w:rsidRDefault="0069375A" w:rsidP="0069375A">
      <w:pPr>
        <w:pStyle w:val="Textonotapie"/>
      </w:pPr>
      <w:r>
        <w:rPr>
          <w:rStyle w:val="Refdenotaalpie"/>
        </w:rPr>
        <w:footnoteRef/>
      </w:r>
      <w:r>
        <w:t xml:space="preserve"> </w:t>
      </w:r>
      <w:r w:rsidRPr="00F06018">
        <w:rPr>
          <w:sz w:val="18"/>
          <w:szCs w:val="18"/>
        </w:rPr>
        <w:t>Estándar voluntario sobre el reporte de sostenibilidad para las empresas pequeñas y medianas</w:t>
      </w:r>
      <w:r>
        <w:rPr>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A52ACE"/>
    <w:multiLevelType w:val="hybridMultilevel"/>
    <w:tmpl w:val="D422BE90"/>
    <w:lvl w:ilvl="0" w:tplc="10CCB264">
      <w:numFmt w:val="bullet"/>
      <w:lvlText w:val=""/>
      <w:lvlJc w:val="left"/>
      <w:pPr>
        <w:ind w:left="1278" w:hanging="360"/>
      </w:pPr>
      <w:rPr>
        <w:rFonts w:ascii="Symbol" w:eastAsia="Symbol" w:hAnsi="Symbol" w:cs="Symbol" w:hint="default"/>
        <w:b w:val="0"/>
        <w:bCs w:val="0"/>
        <w:i w:val="0"/>
        <w:iCs w:val="0"/>
        <w:spacing w:val="0"/>
        <w:w w:val="100"/>
        <w:sz w:val="24"/>
        <w:szCs w:val="24"/>
        <w:lang w:val="es-ES" w:eastAsia="en-US" w:bidi="ar-SA"/>
      </w:rPr>
    </w:lvl>
    <w:lvl w:ilvl="1" w:tplc="3A22A8EA">
      <w:numFmt w:val="bullet"/>
      <w:lvlText w:val="•"/>
      <w:lvlJc w:val="left"/>
      <w:pPr>
        <w:ind w:left="2101" w:hanging="360"/>
      </w:pPr>
      <w:rPr>
        <w:rFonts w:hint="default"/>
        <w:lang w:val="es-ES" w:eastAsia="en-US" w:bidi="ar-SA"/>
      </w:rPr>
    </w:lvl>
    <w:lvl w:ilvl="2" w:tplc="B088C600">
      <w:numFmt w:val="bullet"/>
      <w:lvlText w:val="•"/>
      <w:lvlJc w:val="left"/>
      <w:pPr>
        <w:ind w:left="2923" w:hanging="360"/>
      </w:pPr>
      <w:rPr>
        <w:rFonts w:hint="default"/>
        <w:lang w:val="es-ES" w:eastAsia="en-US" w:bidi="ar-SA"/>
      </w:rPr>
    </w:lvl>
    <w:lvl w:ilvl="3" w:tplc="A43E7408">
      <w:numFmt w:val="bullet"/>
      <w:lvlText w:val="•"/>
      <w:lvlJc w:val="left"/>
      <w:pPr>
        <w:ind w:left="3745" w:hanging="360"/>
      </w:pPr>
      <w:rPr>
        <w:rFonts w:hint="default"/>
        <w:lang w:val="es-ES" w:eastAsia="en-US" w:bidi="ar-SA"/>
      </w:rPr>
    </w:lvl>
    <w:lvl w:ilvl="4" w:tplc="DED0746C">
      <w:numFmt w:val="bullet"/>
      <w:lvlText w:val="•"/>
      <w:lvlJc w:val="left"/>
      <w:pPr>
        <w:ind w:left="4567" w:hanging="360"/>
      </w:pPr>
      <w:rPr>
        <w:rFonts w:hint="default"/>
        <w:lang w:val="es-ES" w:eastAsia="en-US" w:bidi="ar-SA"/>
      </w:rPr>
    </w:lvl>
    <w:lvl w:ilvl="5" w:tplc="F44A80EC">
      <w:numFmt w:val="bullet"/>
      <w:lvlText w:val="•"/>
      <w:lvlJc w:val="left"/>
      <w:pPr>
        <w:ind w:left="5389" w:hanging="360"/>
      </w:pPr>
      <w:rPr>
        <w:rFonts w:hint="default"/>
        <w:lang w:val="es-ES" w:eastAsia="en-US" w:bidi="ar-SA"/>
      </w:rPr>
    </w:lvl>
    <w:lvl w:ilvl="6" w:tplc="73A63164">
      <w:numFmt w:val="bullet"/>
      <w:lvlText w:val="•"/>
      <w:lvlJc w:val="left"/>
      <w:pPr>
        <w:ind w:left="6211" w:hanging="360"/>
      </w:pPr>
      <w:rPr>
        <w:rFonts w:hint="default"/>
        <w:lang w:val="es-ES" w:eastAsia="en-US" w:bidi="ar-SA"/>
      </w:rPr>
    </w:lvl>
    <w:lvl w:ilvl="7" w:tplc="2EC45C70">
      <w:numFmt w:val="bullet"/>
      <w:lvlText w:val="•"/>
      <w:lvlJc w:val="left"/>
      <w:pPr>
        <w:ind w:left="7032" w:hanging="360"/>
      </w:pPr>
      <w:rPr>
        <w:rFonts w:hint="default"/>
        <w:lang w:val="es-ES" w:eastAsia="en-US" w:bidi="ar-SA"/>
      </w:rPr>
    </w:lvl>
    <w:lvl w:ilvl="8" w:tplc="9E52438C">
      <w:numFmt w:val="bullet"/>
      <w:lvlText w:val="•"/>
      <w:lvlJc w:val="left"/>
      <w:pPr>
        <w:ind w:left="7854" w:hanging="360"/>
      </w:pPr>
      <w:rPr>
        <w:rFonts w:hint="default"/>
        <w:lang w:val="es-ES" w:eastAsia="en-US" w:bidi="ar-SA"/>
      </w:rPr>
    </w:lvl>
  </w:abstractNum>
  <w:abstractNum w:abstractNumId="1" w15:restartNumberingAfterBreak="0">
    <w:nsid w:val="681A7982"/>
    <w:multiLevelType w:val="hybridMultilevel"/>
    <w:tmpl w:val="69AA1982"/>
    <w:lvl w:ilvl="0" w:tplc="041C217C">
      <w:numFmt w:val="bullet"/>
      <w:lvlText w:val="-"/>
      <w:lvlJc w:val="left"/>
      <w:pPr>
        <w:ind w:left="1564" w:hanging="356"/>
      </w:pPr>
      <w:rPr>
        <w:rFonts w:ascii="Arial" w:eastAsia="Arial" w:hAnsi="Arial" w:cs="Arial" w:hint="default"/>
        <w:b w:val="0"/>
        <w:bCs w:val="0"/>
        <w:i w:val="0"/>
        <w:iCs w:val="0"/>
        <w:spacing w:val="0"/>
        <w:w w:val="100"/>
        <w:sz w:val="24"/>
        <w:szCs w:val="24"/>
        <w:lang w:val="es-ES" w:eastAsia="en-US" w:bidi="ar-SA"/>
      </w:rPr>
    </w:lvl>
    <w:lvl w:ilvl="1" w:tplc="EF427E1A">
      <w:start w:val="1"/>
      <w:numFmt w:val="lowerRoman"/>
      <w:lvlText w:val="(%2)"/>
      <w:lvlJc w:val="left"/>
      <w:pPr>
        <w:ind w:left="2285" w:hanging="721"/>
      </w:pPr>
      <w:rPr>
        <w:rFonts w:ascii="Celeste-Regular" w:eastAsia="Celeste-Regular" w:hAnsi="Celeste-Regular" w:cs="Celeste-Regular" w:hint="default"/>
        <w:b w:val="0"/>
        <w:bCs w:val="0"/>
        <w:i w:val="0"/>
        <w:iCs w:val="0"/>
        <w:spacing w:val="-1"/>
        <w:w w:val="100"/>
        <w:sz w:val="24"/>
        <w:szCs w:val="24"/>
        <w:lang w:val="es-ES" w:eastAsia="en-US" w:bidi="ar-SA"/>
      </w:rPr>
    </w:lvl>
    <w:lvl w:ilvl="2" w:tplc="534CE940">
      <w:numFmt w:val="bullet"/>
      <w:lvlText w:val="•"/>
      <w:lvlJc w:val="left"/>
      <w:pPr>
        <w:ind w:left="3082" w:hanging="721"/>
      </w:pPr>
      <w:rPr>
        <w:rFonts w:hint="default"/>
        <w:lang w:val="es-ES" w:eastAsia="en-US" w:bidi="ar-SA"/>
      </w:rPr>
    </w:lvl>
    <w:lvl w:ilvl="3" w:tplc="CF1A9852">
      <w:numFmt w:val="bullet"/>
      <w:lvlText w:val="•"/>
      <w:lvlJc w:val="left"/>
      <w:pPr>
        <w:ind w:left="3884" w:hanging="721"/>
      </w:pPr>
      <w:rPr>
        <w:rFonts w:hint="default"/>
        <w:lang w:val="es-ES" w:eastAsia="en-US" w:bidi="ar-SA"/>
      </w:rPr>
    </w:lvl>
    <w:lvl w:ilvl="4" w:tplc="EC9A5AAE">
      <w:numFmt w:val="bullet"/>
      <w:lvlText w:val="•"/>
      <w:lvlJc w:val="left"/>
      <w:pPr>
        <w:ind w:left="4686" w:hanging="721"/>
      </w:pPr>
      <w:rPr>
        <w:rFonts w:hint="default"/>
        <w:lang w:val="es-ES" w:eastAsia="en-US" w:bidi="ar-SA"/>
      </w:rPr>
    </w:lvl>
    <w:lvl w:ilvl="5" w:tplc="5E8C8AA0">
      <w:numFmt w:val="bullet"/>
      <w:lvlText w:val="•"/>
      <w:lvlJc w:val="left"/>
      <w:pPr>
        <w:ind w:left="5488" w:hanging="721"/>
      </w:pPr>
      <w:rPr>
        <w:rFonts w:hint="default"/>
        <w:lang w:val="es-ES" w:eastAsia="en-US" w:bidi="ar-SA"/>
      </w:rPr>
    </w:lvl>
    <w:lvl w:ilvl="6" w:tplc="BA68C84C">
      <w:numFmt w:val="bullet"/>
      <w:lvlText w:val="•"/>
      <w:lvlJc w:val="left"/>
      <w:pPr>
        <w:ind w:left="6290" w:hanging="721"/>
      </w:pPr>
      <w:rPr>
        <w:rFonts w:hint="default"/>
        <w:lang w:val="es-ES" w:eastAsia="en-US" w:bidi="ar-SA"/>
      </w:rPr>
    </w:lvl>
    <w:lvl w:ilvl="7" w:tplc="A7144DB6">
      <w:numFmt w:val="bullet"/>
      <w:lvlText w:val="•"/>
      <w:lvlJc w:val="left"/>
      <w:pPr>
        <w:ind w:left="7092" w:hanging="721"/>
      </w:pPr>
      <w:rPr>
        <w:rFonts w:hint="default"/>
        <w:lang w:val="es-ES" w:eastAsia="en-US" w:bidi="ar-SA"/>
      </w:rPr>
    </w:lvl>
    <w:lvl w:ilvl="8" w:tplc="912227E8">
      <w:numFmt w:val="bullet"/>
      <w:lvlText w:val="•"/>
      <w:lvlJc w:val="left"/>
      <w:pPr>
        <w:ind w:left="7894" w:hanging="721"/>
      </w:pPr>
      <w:rPr>
        <w:rFonts w:hint="default"/>
        <w:lang w:val="es-ES" w:eastAsia="en-US" w:bidi="ar-SA"/>
      </w:rPr>
    </w:lvl>
  </w:abstractNum>
  <w:num w:numId="1" w16cid:durableId="959649472">
    <w:abstractNumId w:val="0"/>
  </w:num>
  <w:num w:numId="2" w16cid:durableId="21083799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8A6"/>
    <w:rsid w:val="00025137"/>
    <w:rsid w:val="000553BD"/>
    <w:rsid w:val="0008616A"/>
    <w:rsid w:val="00086E32"/>
    <w:rsid w:val="000978AA"/>
    <w:rsid w:val="000D39AF"/>
    <w:rsid w:val="000E4E3D"/>
    <w:rsid w:val="00100D0B"/>
    <w:rsid w:val="00103899"/>
    <w:rsid w:val="00145A85"/>
    <w:rsid w:val="00190066"/>
    <w:rsid w:val="002006B1"/>
    <w:rsid w:val="002064D2"/>
    <w:rsid w:val="00213D30"/>
    <w:rsid w:val="00221507"/>
    <w:rsid w:val="00225A82"/>
    <w:rsid w:val="00230581"/>
    <w:rsid w:val="002416C3"/>
    <w:rsid w:val="00297576"/>
    <w:rsid w:val="002D445F"/>
    <w:rsid w:val="002E4873"/>
    <w:rsid w:val="003027E8"/>
    <w:rsid w:val="00313BA1"/>
    <w:rsid w:val="003153FA"/>
    <w:rsid w:val="00344079"/>
    <w:rsid w:val="0034456E"/>
    <w:rsid w:val="00351584"/>
    <w:rsid w:val="00380CD8"/>
    <w:rsid w:val="00393CCB"/>
    <w:rsid w:val="003B579C"/>
    <w:rsid w:val="003D251F"/>
    <w:rsid w:val="003E30E7"/>
    <w:rsid w:val="00410A07"/>
    <w:rsid w:val="004143C4"/>
    <w:rsid w:val="00435BCF"/>
    <w:rsid w:val="00496A36"/>
    <w:rsid w:val="004A3D5A"/>
    <w:rsid w:val="004F1079"/>
    <w:rsid w:val="004F46E4"/>
    <w:rsid w:val="00500316"/>
    <w:rsid w:val="00526ED3"/>
    <w:rsid w:val="00562949"/>
    <w:rsid w:val="00566ADD"/>
    <w:rsid w:val="00567AE9"/>
    <w:rsid w:val="00612DD8"/>
    <w:rsid w:val="006619F1"/>
    <w:rsid w:val="00686813"/>
    <w:rsid w:val="00691170"/>
    <w:rsid w:val="0069375A"/>
    <w:rsid w:val="006D28A6"/>
    <w:rsid w:val="006D611A"/>
    <w:rsid w:val="00742391"/>
    <w:rsid w:val="00744CD5"/>
    <w:rsid w:val="00753AB7"/>
    <w:rsid w:val="00780557"/>
    <w:rsid w:val="007F5D92"/>
    <w:rsid w:val="00807448"/>
    <w:rsid w:val="008426B6"/>
    <w:rsid w:val="0085576A"/>
    <w:rsid w:val="00874198"/>
    <w:rsid w:val="0089583C"/>
    <w:rsid w:val="008A7FC3"/>
    <w:rsid w:val="008D16CB"/>
    <w:rsid w:val="008D59CC"/>
    <w:rsid w:val="0097468E"/>
    <w:rsid w:val="00976358"/>
    <w:rsid w:val="00984384"/>
    <w:rsid w:val="009F1CC2"/>
    <w:rsid w:val="00A311FD"/>
    <w:rsid w:val="00A51BAA"/>
    <w:rsid w:val="00A52BB9"/>
    <w:rsid w:val="00A5579A"/>
    <w:rsid w:val="00A90500"/>
    <w:rsid w:val="00AA7B9C"/>
    <w:rsid w:val="00B01DB6"/>
    <w:rsid w:val="00B1399B"/>
    <w:rsid w:val="00B20C51"/>
    <w:rsid w:val="00B7072A"/>
    <w:rsid w:val="00BA1E01"/>
    <w:rsid w:val="00BA34A3"/>
    <w:rsid w:val="00BD49E0"/>
    <w:rsid w:val="00BE6273"/>
    <w:rsid w:val="00C23513"/>
    <w:rsid w:val="00C45731"/>
    <w:rsid w:val="00C633E4"/>
    <w:rsid w:val="00C850B9"/>
    <w:rsid w:val="00CA477A"/>
    <w:rsid w:val="00CD35C7"/>
    <w:rsid w:val="00D37109"/>
    <w:rsid w:val="00D41B44"/>
    <w:rsid w:val="00D64FE6"/>
    <w:rsid w:val="00D75A38"/>
    <w:rsid w:val="00DB1BB2"/>
    <w:rsid w:val="00DF1D03"/>
    <w:rsid w:val="00DF77FD"/>
    <w:rsid w:val="00E40692"/>
    <w:rsid w:val="00E409D7"/>
    <w:rsid w:val="00E62CA5"/>
    <w:rsid w:val="00E76E9C"/>
    <w:rsid w:val="00E83B7B"/>
    <w:rsid w:val="00E85BA3"/>
    <w:rsid w:val="00EB60C5"/>
    <w:rsid w:val="00EC0954"/>
    <w:rsid w:val="00F06018"/>
    <w:rsid w:val="00F1274E"/>
    <w:rsid w:val="00F67A73"/>
    <w:rsid w:val="00F86B4D"/>
    <w:rsid w:val="00FB1778"/>
    <w:rsid w:val="00FB5DA2"/>
    <w:rsid w:val="00FF38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7FC04"/>
  <w15:docId w15:val="{95FEAD1B-B583-422E-ACE8-67FDD309A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leste-Regular" w:eastAsia="Celeste-Regular" w:hAnsi="Celeste-Regular" w:cs="Celeste-Regula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jc w:val="both"/>
    </w:pPr>
    <w:rPr>
      <w:sz w:val="24"/>
      <w:szCs w:val="24"/>
    </w:rPr>
  </w:style>
  <w:style w:type="paragraph" w:styleId="Prrafodelista">
    <w:name w:val="List Paragraph"/>
    <w:basedOn w:val="Normal"/>
    <w:link w:val="PrrafodelistaCar"/>
    <w:uiPriority w:val="34"/>
    <w:qFormat/>
    <w:pPr>
      <w:ind w:left="1564" w:right="138" w:hanging="356"/>
      <w:jc w:val="both"/>
    </w:pPr>
  </w:style>
  <w:style w:type="paragraph" w:customStyle="1" w:styleId="TableParagraph">
    <w:name w:val="Table Paragraph"/>
    <w:basedOn w:val="Normal"/>
    <w:uiPriority w:val="1"/>
    <w:qFormat/>
    <w:rPr>
      <w:rFonts w:ascii="Myriad Pro Light" w:eastAsia="Myriad Pro Light" w:hAnsi="Myriad Pro Light" w:cs="Myriad Pro Light"/>
    </w:rPr>
  </w:style>
  <w:style w:type="paragraph" w:styleId="Revisin">
    <w:name w:val="Revision"/>
    <w:hidden/>
    <w:uiPriority w:val="99"/>
    <w:semiHidden/>
    <w:rsid w:val="00FF3824"/>
    <w:pPr>
      <w:widowControl/>
      <w:autoSpaceDE/>
      <w:autoSpaceDN/>
    </w:pPr>
    <w:rPr>
      <w:rFonts w:ascii="Celeste-Regular" w:eastAsia="Celeste-Regular" w:hAnsi="Celeste-Regular" w:cs="Celeste-Regular"/>
      <w:lang w:val="es-ES"/>
    </w:rPr>
  </w:style>
  <w:style w:type="character" w:styleId="Refdecomentario">
    <w:name w:val="annotation reference"/>
    <w:basedOn w:val="Fuentedeprrafopredeter"/>
    <w:uiPriority w:val="99"/>
    <w:semiHidden/>
    <w:unhideWhenUsed/>
    <w:rsid w:val="00344079"/>
    <w:rPr>
      <w:sz w:val="16"/>
      <w:szCs w:val="16"/>
    </w:rPr>
  </w:style>
  <w:style w:type="paragraph" w:styleId="Textocomentario">
    <w:name w:val="annotation text"/>
    <w:basedOn w:val="Normal"/>
    <w:link w:val="TextocomentarioCar"/>
    <w:uiPriority w:val="99"/>
    <w:unhideWhenUsed/>
    <w:rsid w:val="00344079"/>
    <w:rPr>
      <w:sz w:val="20"/>
      <w:szCs w:val="20"/>
    </w:rPr>
  </w:style>
  <w:style w:type="character" w:customStyle="1" w:styleId="TextocomentarioCar">
    <w:name w:val="Texto comentario Car"/>
    <w:basedOn w:val="Fuentedeprrafopredeter"/>
    <w:link w:val="Textocomentario"/>
    <w:uiPriority w:val="99"/>
    <w:rsid w:val="00344079"/>
    <w:rPr>
      <w:rFonts w:ascii="Celeste-Regular" w:eastAsia="Celeste-Regular" w:hAnsi="Celeste-Regular" w:cs="Celeste-Regular"/>
      <w:sz w:val="20"/>
      <w:szCs w:val="20"/>
      <w:lang w:val="es-ES"/>
    </w:rPr>
  </w:style>
  <w:style w:type="paragraph" w:styleId="Asuntodelcomentario">
    <w:name w:val="annotation subject"/>
    <w:basedOn w:val="Textocomentario"/>
    <w:next w:val="Textocomentario"/>
    <w:link w:val="AsuntodelcomentarioCar"/>
    <w:uiPriority w:val="99"/>
    <w:semiHidden/>
    <w:unhideWhenUsed/>
    <w:rsid w:val="00344079"/>
    <w:rPr>
      <w:b/>
      <w:bCs/>
    </w:rPr>
  </w:style>
  <w:style w:type="character" w:customStyle="1" w:styleId="AsuntodelcomentarioCar">
    <w:name w:val="Asunto del comentario Car"/>
    <w:basedOn w:val="TextocomentarioCar"/>
    <w:link w:val="Asuntodelcomentario"/>
    <w:uiPriority w:val="99"/>
    <w:semiHidden/>
    <w:rsid w:val="00344079"/>
    <w:rPr>
      <w:rFonts w:ascii="Celeste-Regular" w:eastAsia="Celeste-Regular" w:hAnsi="Celeste-Regular" w:cs="Celeste-Regular"/>
      <w:b/>
      <w:bCs/>
      <w:sz w:val="20"/>
      <w:szCs w:val="20"/>
      <w:lang w:val="es-ES"/>
    </w:rPr>
  </w:style>
  <w:style w:type="paragraph" w:styleId="Textonotapie">
    <w:name w:val="footnote text"/>
    <w:basedOn w:val="Normal"/>
    <w:link w:val="TextonotapieCar"/>
    <w:uiPriority w:val="99"/>
    <w:semiHidden/>
    <w:unhideWhenUsed/>
    <w:rsid w:val="00B20C51"/>
    <w:rPr>
      <w:sz w:val="20"/>
      <w:szCs w:val="20"/>
    </w:rPr>
  </w:style>
  <w:style w:type="character" w:customStyle="1" w:styleId="TextonotapieCar">
    <w:name w:val="Texto nota pie Car"/>
    <w:basedOn w:val="Fuentedeprrafopredeter"/>
    <w:link w:val="Textonotapie"/>
    <w:uiPriority w:val="99"/>
    <w:semiHidden/>
    <w:rsid w:val="00B20C51"/>
    <w:rPr>
      <w:rFonts w:ascii="Celeste-Regular" w:eastAsia="Celeste-Regular" w:hAnsi="Celeste-Regular" w:cs="Celeste-Regular"/>
      <w:sz w:val="20"/>
      <w:szCs w:val="20"/>
      <w:lang w:val="es-ES"/>
    </w:rPr>
  </w:style>
  <w:style w:type="character" w:styleId="Refdenotaalpie">
    <w:name w:val="footnote reference"/>
    <w:basedOn w:val="Fuentedeprrafopredeter"/>
    <w:uiPriority w:val="99"/>
    <w:semiHidden/>
    <w:unhideWhenUsed/>
    <w:rsid w:val="00B20C51"/>
    <w:rPr>
      <w:vertAlign w:val="superscript"/>
    </w:rPr>
  </w:style>
  <w:style w:type="character" w:customStyle="1" w:styleId="PrrafodelistaCar">
    <w:name w:val="Párrafo de lista Car"/>
    <w:basedOn w:val="Fuentedeprrafopredeter"/>
    <w:link w:val="Prrafodelista"/>
    <w:uiPriority w:val="34"/>
    <w:rsid w:val="0069375A"/>
    <w:rPr>
      <w:rFonts w:ascii="Celeste-Regular" w:eastAsia="Celeste-Regular" w:hAnsi="Celeste-Regular" w:cs="Celeste-Regular"/>
      <w:lang w:val="es-ES"/>
    </w:rPr>
  </w:style>
  <w:style w:type="character" w:styleId="Hipervnculo">
    <w:name w:val="Hyperlink"/>
    <w:basedOn w:val="Fuentedeprrafopredeter"/>
    <w:uiPriority w:val="99"/>
    <w:unhideWhenUsed/>
    <w:rsid w:val="004F46E4"/>
    <w:rPr>
      <w:color w:val="0000FF" w:themeColor="hyperlink"/>
      <w:u w:val="single"/>
    </w:rPr>
  </w:style>
  <w:style w:type="character" w:styleId="Mencinsinresolver">
    <w:name w:val="Unresolved Mention"/>
    <w:basedOn w:val="Fuentedeprrafopredeter"/>
    <w:uiPriority w:val="99"/>
    <w:semiHidden/>
    <w:unhideWhenUsed/>
    <w:rsid w:val="004F46E4"/>
    <w:rPr>
      <w:color w:val="605E5C"/>
      <w:shd w:val="clear" w:color="auto" w:fill="E1DFDD"/>
    </w:rPr>
  </w:style>
  <w:style w:type="character" w:styleId="Hipervnculovisitado">
    <w:name w:val="FollowedHyperlink"/>
    <w:basedOn w:val="Fuentedeprrafopredeter"/>
    <w:uiPriority w:val="99"/>
    <w:semiHidden/>
    <w:unhideWhenUsed/>
    <w:rsid w:val="004F46E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cac.gob.es/sites/default/files/2025-08/Recomendaci%C3%B3n%20Norma%20voluntaria%20sostenibilidad.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nmv.es/webservices/verdocumento/ver?t=%7bafaf51f8-ba48-4f45-a60a-4e2a7897cf42%7d"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88757-0F41-4DD4-BE3F-998593A09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1347</Words>
  <Characters>7409</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Navarro Naredo</dc:creator>
  <cp:lastModifiedBy>Maria Diaz Vos</cp:lastModifiedBy>
  <cp:revision>4</cp:revision>
  <dcterms:created xsi:type="dcterms:W3CDTF">2025-11-19T10:10:00Z</dcterms:created>
  <dcterms:modified xsi:type="dcterms:W3CDTF">2025-11-19T10:45:00Z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2025-11-04T00:00:00Z</vt:filetime>
  </property>
  <property fmtid="{D5CDD505-2E9C-101B-9397-08002B2CF9AE}" pid="3" name="Creator">
    <vt:lpwstr>Microsoft® Word para Microsoft 365</vt:lpwstr>
  </property>
  <property fmtid="{D5CDD505-2E9C-101B-9397-08002B2CF9AE}" pid="4" name="LastSaved">
    <vt:filetime>2025-11-05T00:00:00Z</vt:filetime>
  </property>
  <property fmtid="{D5CDD505-2E9C-101B-9397-08002B2CF9AE}" pid="5" name="Producer">
    <vt:lpwstr>Microsoft® Word para Microsoft 365</vt:lpwstr>
  </property>
</Properties>
</file>